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24"/>
        </w:rPr>
      </w:pPr>
      <w:r>
        <w:rPr>
          <w:rFonts w:hint="eastAsia" w:ascii="宋体" w:hAnsi="宋体"/>
          <w:b/>
          <w:sz w:val="32"/>
          <w:szCs w:val="24"/>
        </w:rPr>
        <w:t>福建省金龙稀土股份有限公司瓷砖类采购项目</w:t>
      </w:r>
    </w:p>
    <w:p>
      <w:pPr>
        <w:jc w:val="center"/>
        <w:rPr>
          <w:rFonts w:ascii="宋体" w:hAnsi="宋体"/>
          <w:b/>
          <w:sz w:val="32"/>
          <w:szCs w:val="24"/>
        </w:rPr>
      </w:pPr>
      <w:r>
        <w:rPr>
          <w:rFonts w:hint="eastAsia" w:ascii="宋体" w:hAnsi="宋体"/>
          <w:b/>
          <w:sz w:val="32"/>
          <w:szCs w:val="24"/>
        </w:rPr>
        <w:t xml:space="preserve">竞价邀请函 </w:t>
      </w:r>
    </w:p>
    <w:p>
      <w:pPr>
        <w:ind w:firstLine="480" w:firstLineChars="200"/>
        <w:rPr>
          <w:rFonts w:ascii="宋体" w:hAnsi="宋体"/>
          <w:sz w:val="24"/>
          <w:szCs w:val="24"/>
        </w:rPr>
      </w:pPr>
      <w:r>
        <w:rPr>
          <w:rFonts w:hint="eastAsia" w:ascii="宋体" w:hAnsi="宋体"/>
          <w:sz w:val="24"/>
          <w:szCs w:val="24"/>
        </w:rPr>
        <w:t>福建省金龙稀土股份有限公司瓷砖类采购项目进行竞价采购。现欢迎各公司参与本项目竞价。具体内容如下：</w:t>
      </w:r>
    </w:p>
    <w:p>
      <w:pPr>
        <w:rPr>
          <w:rFonts w:ascii="宋体" w:hAnsi="宋体"/>
          <w:sz w:val="24"/>
          <w:szCs w:val="24"/>
        </w:rPr>
      </w:pPr>
    </w:p>
    <w:p>
      <w:pPr>
        <w:rPr>
          <w:rFonts w:ascii="宋体" w:hAnsi="宋体"/>
          <w:b/>
          <w:sz w:val="24"/>
          <w:szCs w:val="24"/>
        </w:rPr>
      </w:pPr>
      <w:r>
        <w:rPr>
          <w:rFonts w:hint="eastAsia" w:ascii="宋体" w:hAnsi="宋体"/>
          <w:b/>
          <w:sz w:val="24"/>
          <w:szCs w:val="24"/>
        </w:rPr>
        <w:t>一：竞价情况说明：</w:t>
      </w:r>
    </w:p>
    <w:p>
      <w:pPr>
        <w:ind w:firstLine="480" w:firstLineChars="200"/>
        <w:rPr>
          <w:rFonts w:ascii="宋体" w:hAnsi="宋体"/>
          <w:sz w:val="24"/>
          <w:szCs w:val="24"/>
        </w:rPr>
      </w:pPr>
      <w:r>
        <w:rPr>
          <w:rFonts w:hint="eastAsia" w:ascii="宋体" w:hAnsi="宋体"/>
          <w:sz w:val="24"/>
          <w:szCs w:val="24"/>
        </w:rPr>
        <w:t>项目名称：福建省金龙稀土股份有限公司瓷砖类采购项目</w:t>
      </w:r>
    </w:p>
    <w:p>
      <w:pPr>
        <w:ind w:firstLine="480" w:firstLineChars="200"/>
        <w:rPr>
          <w:rFonts w:ascii="宋体" w:hAnsi="宋体"/>
          <w:sz w:val="24"/>
          <w:szCs w:val="24"/>
        </w:rPr>
      </w:pPr>
    </w:p>
    <w:p>
      <w:pPr>
        <w:rPr>
          <w:rFonts w:ascii="宋体" w:hAnsi="宋体"/>
          <w:b/>
          <w:sz w:val="24"/>
          <w:szCs w:val="24"/>
        </w:rPr>
      </w:pPr>
      <w:r>
        <w:rPr>
          <w:rFonts w:hint="eastAsia" w:ascii="宋体" w:hAnsi="宋体"/>
          <w:b/>
          <w:sz w:val="24"/>
          <w:szCs w:val="24"/>
        </w:rPr>
        <w:t>二：参与竞价人资格要求：</w:t>
      </w:r>
    </w:p>
    <w:p>
      <w:pPr>
        <w:pStyle w:val="17"/>
        <w:widowControl/>
        <w:numPr>
          <w:ilvl w:val="0"/>
          <w:numId w:val="1"/>
        </w:numPr>
        <w:adjustRightInd/>
        <w:spacing w:after="120" w:line="240" w:lineRule="auto"/>
        <w:ind w:firstLineChars="0"/>
        <w:jc w:val="left"/>
        <w:rPr>
          <w:rFonts w:ascii="宋体" w:hAnsi="宋体"/>
          <w:sz w:val="24"/>
          <w:szCs w:val="24"/>
        </w:rPr>
      </w:pPr>
      <w:r>
        <w:rPr>
          <w:rFonts w:hint="eastAsia" w:ascii="宋体" w:hAnsi="宋体"/>
          <w:sz w:val="24"/>
          <w:szCs w:val="24"/>
        </w:rPr>
        <w:t>具有独立订立合同的能力，并具有有效营业执照（有效期内）；</w:t>
      </w:r>
    </w:p>
    <w:p>
      <w:pPr>
        <w:pStyle w:val="17"/>
        <w:widowControl/>
        <w:numPr>
          <w:ilvl w:val="0"/>
          <w:numId w:val="1"/>
        </w:numPr>
        <w:adjustRightInd/>
        <w:spacing w:after="120" w:line="240" w:lineRule="auto"/>
        <w:ind w:firstLineChars="0"/>
        <w:jc w:val="left"/>
        <w:rPr>
          <w:rFonts w:ascii="宋体" w:hAnsi="宋体"/>
          <w:sz w:val="24"/>
          <w:szCs w:val="24"/>
        </w:rPr>
      </w:pPr>
      <w:r>
        <w:rPr>
          <w:rFonts w:hint="eastAsia" w:ascii="宋体" w:hAnsi="宋体"/>
          <w:sz w:val="24"/>
          <w:szCs w:val="24"/>
        </w:rPr>
        <w:t>投标人所投产品在品牌内选择（马可波罗</w:t>
      </w:r>
      <w:r>
        <w:rPr>
          <w:rFonts w:hint="eastAsia" w:ascii="微软雅黑" w:hAnsi="微软雅黑" w:eastAsia="微软雅黑" w:cs="微软雅黑"/>
          <w:sz w:val="24"/>
          <w:szCs w:val="24"/>
        </w:rPr>
        <w:t>/</w:t>
      </w:r>
      <w:r>
        <w:rPr>
          <w:rFonts w:hint="eastAsia" w:ascii="宋体" w:hAnsi="宋体"/>
          <w:sz w:val="24"/>
          <w:szCs w:val="24"/>
        </w:rPr>
        <w:t>蒙娜丽莎</w:t>
      </w:r>
      <w:r>
        <w:rPr>
          <w:rFonts w:hint="eastAsia" w:ascii="微软雅黑" w:hAnsi="微软雅黑" w:eastAsia="微软雅黑" w:cs="微软雅黑"/>
          <w:sz w:val="24"/>
          <w:szCs w:val="24"/>
        </w:rPr>
        <w:t>/</w:t>
      </w:r>
      <w:r>
        <w:rPr>
          <w:rFonts w:hint="eastAsia" w:ascii="宋体" w:hAnsi="宋体"/>
          <w:sz w:val="24"/>
          <w:szCs w:val="24"/>
        </w:rPr>
        <w:t>诺贝尔），需提供相关渠道证明，若选择品牌范围以外的产品且未获得招标人书面同意，视为未能对招标文件作出实质性响应；</w:t>
      </w:r>
    </w:p>
    <w:p>
      <w:pPr>
        <w:pStyle w:val="17"/>
        <w:widowControl/>
        <w:numPr>
          <w:ilvl w:val="0"/>
          <w:numId w:val="1"/>
        </w:numPr>
        <w:adjustRightInd/>
        <w:spacing w:after="120" w:line="240" w:lineRule="auto"/>
        <w:ind w:firstLineChars="0"/>
        <w:jc w:val="left"/>
        <w:rPr>
          <w:rFonts w:ascii="宋体" w:hAnsi="宋体"/>
          <w:sz w:val="24"/>
          <w:szCs w:val="24"/>
        </w:rPr>
      </w:pPr>
      <w:r>
        <w:rPr>
          <w:rFonts w:hint="eastAsia" w:ascii="宋体" w:hAnsi="宋体"/>
          <w:sz w:val="24"/>
          <w:szCs w:val="24"/>
        </w:rPr>
        <w:t>投标人在人员、资金等方面具备承担本次招标货物的制造、运输、售后服务等相关方面的能力。</w:t>
      </w:r>
    </w:p>
    <w:p>
      <w:pPr>
        <w:rPr>
          <w:rFonts w:ascii="宋体" w:hAnsi="宋体"/>
          <w:b/>
          <w:sz w:val="24"/>
          <w:szCs w:val="24"/>
        </w:rPr>
      </w:pPr>
      <w:r>
        <w:rPr>
          <w:rFonts w:hint="eastAsia" w:ascii="宋体" w:hAnsi="宋体"/>
          <w:b/>
          <w:sz w:val="24"/>
          <w:szCs w:val="24"/>
        </w:rPr>
        <w:t>三：竞价说明文件的获取：</w:t>
      </w:r>
    </w:p>
    <w:p>
      <w:pPr>
        <w:ind w:firstLine="480" w:firstLineChars="200"/>
        <w:rPr>
          <w:rFonts w:ascii="宋体" w:hAnsi="宋体"/>
          <w:sz w:val="24"/>
          <w:szCs w:val="24"/>
        </w:rPr>
      </w:pPr>
      <w:r>
        <w:rPr>
          <w:rFonts w:hint="eastAsia" w:ascii="宋体" w:hAnsi="宋体"/>
          <w:sz w:val="24"/>
          <w:szCs w:val="24"/>
        </w:rPr>
        <w:t>凡有意参加竞价者，请于竞价报名截止时间前到厦门钨业采购门户  （https://bidding.cxtc.com/srm/home.html）自行下载。</w:t>
      </w:r>
    </w:p>
    <w:p>
      <w:pPr>
        <w:pStyle w:val="17"/>
        <w:ind w:left="810" w:firstLine="0" w:firstLineChars="0"/>
        <w:rPr>
          <w:rFonts w:ascii="宋体" w:hAnsi="宋体"/>
          <w:sz w:val="24"/>
          <w:szCs w:val="24"/>
        </w:rPr>
      </w:pPr>
    </w:p>
    <w:p>
      <w:pPr>
        <w:rPr>
          <w:rFonts w:ascii="宋体" w:hAnsi="宋体"/>
          <w:b/>
          <w:sz w:val="24"/>
          <w:szCs w:val="24"/>
        </w:rPr>
      </w:pPr>
      <w:r>
        <w:rPr>
          <w:rFonts w:hint="eastAsia" w:ascii="宋体" w:hAnsi="宋体"/>
          <w:b/>
          <w:sz w:val="24"/>
          <w:szCs w:val="24"/>
        </w:rPr>
        <w:t>四：评标方法：</w:t>
      </w:r>
    </w:p>
    <w:p>
      <w:pPr>
        <w:ind w:firstLine="480"/>
        <w:rPr>
          <w:rFonts w:ascii="宋体" w:hAnsi="宋体"/>
          <w:sz w:val="24"/>
          <w:szCs w:val="24"/>
        </w:rPr>
      </w:pPr>
      <w:r>
        <w:rPr>
          <w:rFonts w:hint="eastAsia" w:ascii="宋体" w:hAnsi="宋体"/>
          <w:sz w:val="24"/>
          <w:szCs w:val="24"/>
        </w:rPr>
        <w:t>本项目采用的评标办法：按项目总价合理低价中标法。</w:t>
      </w:r>
    </w:p>
    <w:p>
      <w:pPr>
        <w:rPr>
          <w:rFonts w:ascii="宋体" w:hAnsi="宋体"/>
          <w:sz w:val="24"/>
          <w:szCs w:val="24"/>
        </w:rPr>
      </w:pPr>
    </w:p>
    <w:p>
      <w:pPr>
        <w:rPr>
          <w:rFonts w:ascii="宋体" w:hAnsi="宋体"/>
          <w:b/>
          <w:sz w:val="24"/>
          <w:szCs w:val="24"/>
        </w:rPr>
      </w:pPr>
      <w:r>
        <w:rPr>
          <w:rFonts w:hint="eastAsia" w:ascii="宋体" w:hAnsi="宋体"/>
          <w:b/>
          <w:sz w:val="24"/>
          <w:szCs w:val="24"/>
        </w:rPr>
        <w:t>五：竞价报名截止时间、竞价开始时间以及竞价规则设定。</w:t>
      </w:r>
    </w:p>
    <w:p>
      <w:pPr>
        <w:ind w:firstLine="480" w:firstLineChars="200"/>
        <w:rPr>
          <w:rFonts w:ascii="宋体" w:hAnsi="宋体"/>
          <w:sz w:val="24"/>
          <w:szCs w:val="24"/>
        </w:rPr>
      </w:pPr>
      <w:r>
        <w:rPr>
          <w:rFonts w:ascii="宋体" w:hAnsi="宋体"/>
          <w:sz w:val="24"/>
          <w:szCs w:val="24"/>
        </w:rPr>
        <w:t>5.</w:t>
      </w:r>
      <w:r>
        <w:rPr>
          <w:rFonts w:hint="eastAsia" w:ascii="宋体" w:hAnsi="宋体"/>
          <w:sz w:val="24"/>
          <w:szCs w:val="24"/>
        </w:rPr>
        <w:t>1竞价人竞价报名截止时</w:t>
      </w:r>
      <w:r>
        <w:rPr>
          <w:rFonts w:hint="eastAsia" w:ascii="宋体" w:hAnsi="宋体"/>
          <w:color w:val="000000" w:themeColor="text1"/>
          <w:sz w:val="24"/>
          <w:szCs w:val="24"/>
          <w14:textFill>
            <w14:solidFill>
              <w14:schemeClr w14:val="tx1"/>
            </w14:solidFill>
          </w14:textFill>
        </w:rPr>
        <w:t>间为</w:t>
      </w:r>
      <w:r>
        <w:rPr>
          <w:rFonts w:hint="eastAsia" w:ascii="宋体" w:hAnsi="宋体"/>
          <w:color w:val="FF0000"/>
          <w:sz w:val="24"/>
          <w:szCs w:val="24"/>
        </w:rPr>
        <w:t>202</w:t>
      </w:r>
      <w:r>
        <w:rPr>
          <w:rFonts w:ascii="宋体" w:hAnsi="宋体"/>
          <w:color w:val="FF0000"/>
          <w:sz w:val="24"/>
          <w:szCs w:val="24"/>
        </w:rPr>
        <w:t>4</w:t>
      </w:r>
      <w:r>
        <w:rPr>
          <w:rFonts w:hint="eastAsia" w:ascii="宋体" w:hAnsi="宋体"/>
          <w:color w:val="FF0000"/>
          <w:sz w:val="24"/>
          <w:szCs w:val="24"/>
        </w:rPr>
        <w:t>年6月</w:t>
      </w:r>
      <w:r>
        <w:rPr>
          <w:rFonts w:ascii="宋体" w:hAnsi="宋体"/>
          <w:color w:val="FF0000"/>
          <w:sz w:val="24"/>
          <w:szCs w:val="24"/>
        </w:rPr>
        <w:t>12</w:t>
      </w:r>
      <w:r>
        <w:rPr>
          <w:rFonts w:hint="eastAsia" w:ascii="宋体" w:hAnsi="宋体"/>
          <w:color w:val="FF0000"/>
          <w:sz w:val="24"/>
          <w:szCs w:val="24"/>
        </w:rPr>
        <w:t>日上午</w:t>
      </w:r>
      <w:r>
        <w:rPr>
          <w:rFonts w:ascii="宋体" w:hAnsi="宋体"/>
          <w:color w:val="FF0000"/>
          <w:sz w:val="24"/>
          <w:szCs w:val="24"/>
        </w:rPr>
        <w:t>12</w:t>
      </w:r>
      <w:r>
        <w:rPr>
          <w:rFonts w:hint="eastAsia" w:ascii="宋体" w:hAnsi="宋体"/>
          <w:color w:val="FF0000"/>
          <w:sz w:val="24"/>
          <w:szCs w:val="24"/>
        </w:rPr>
        <w:t>时</w:t>
      </w:r>
      <w:r>
        <w:rPr>
          <w:rFonts w:ascii="宋体" w:hAnsi="宋体"/>
          <w:color w:val="FF0000"/>
          <w:sz w:val="24"/>
          <w:szCs w:val="24"/>
        </w:rPr>
        <w:t>00</w:t>
      </w:r>
      <w:r>
        <w:rPr>
          <w:rFonts w:hint="eastAsia" w:ascii="宋体" w:hAnsi="宋体"/>
          <w:color w:val="FF0000"/>
          <w:sz w:val="24"/>
          <w:szCs w:val="24"/>
        </w:rPr>
        <w:t>分，</w:t>
      </w:r>
      <w:r>
        <w:rPr>
          <w:rFonts w:hint="eastAsia" w:ascii="宋体" w:hAnsi="宋体"/>
          <w:sz w:val="24"/>
          <w:szCs w:val="24"/>
        </w:rPr>
        <w:t>竞价人应在竞价报名截止时间前在</w:t>
      </w:r>
      <w:r>
        <w:fldChar w:fldCharType="begin"/>
      </w:r>
      <w:r>
        <w:instrText xml:space="preserve"> HYPERLINK "https://bidding.cxtc.com/srm/cashome.html" </w:instrText>
      </w:r>
      <w:r>
        <w:fldChar w:fldCharType="separate"/>
      </w:r>
      <w:r>
        <w:rPr>
          <w:rStyle w:val="14"/>
          <w:rFonts w:hint="eastAsia" w:ascii="宋体" w:hAnsi="宋体"/>
          <w:sz w:val="24"/>
          <w:szCs w:val="24"/>
        </w:rPr>
        <w:t>https://bidding.cxtc.com/srm/cashome.html</w:t>
      </w:r>
      <w:r>
        <w:rPr>
          <w:rStyle w:val="14"/>
          <w:rFonts w:hint="eastAsia" w:ascii="宋体" w:hAnsi="宋体"/>
          <w:sz w:val="24"/>
          <w:szCs w:val="24"/>
        </w:rPr>
        <w:fldChar w:fldCharType="end"/>
      </w:r>
      <w:r>
        <w:rPr>
          <w:rFonts w:hint="eastAsia" w:ascii="宋体" w:hAnsi="宋体"/>
          <w:sz w:val="24"/>
          <w:szCs w:val="24"/>
        </w:rPr>
        <w:t>网站进行竞价参与报名。并且将电子竞价文件上传至该网址。</w:t>
      </w:r>
    </w:p>
    <w:p>
      <w:pPr>
        <w:ind w:firstLine="480" w:firstLineChars="200"/>
        <w:rPr>
          <w:rFonts w:ascii="宋体" w:hAnsi="宋体"/>
          <w:sz w:val="24"/>
          <w:szCs w:val="24"/>
        </w:rPr>
      </w:pPr>
      <w:r>
        <w:rPr>
          <w:rFonts w:ascii="宋体" w:hAnsi="宋体"/>
          <w:sz w:val="24"/>
          <w:szCs w:val="24"/>
        </w:rPr>
        <w:t>5.</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竞价平台：</w:t>
      </w:r>
      <w:r>
        <w:fldChar w:fldCharType="begin"/>
      </w:r>
      <w:r>
        <w:instrText xml:space="preserve"> HYPERLINK "https://bidding.cxtc.com/srm/cashome.html" </w:instrText>
      </w:r>
      <w:r>
        <w:fldChar w:fldCharType="separate"/>
      </w:r>
      <w:r>
        <w:rPr>
          <w:rStyle w:val="14"/>
          <w:rFonts w:hint="eastAsia" w:ascii="宋体" w:hAnsi="宋体"/>
          <w:sz w:val="24"/>
          <w:szCs w:val="24"/>
        </w:rPr>
        <w:t>https://bidding.cxtc.com/srm/cashome.html</w:t>
      </w:r>
      <w:r>
        <w:rPr>
          <w:rStyle w:val="14"/>
          <w:rFonts w:hint="eastAsia" w:ascii="宋体" w:hAnsi="宋体"/>
          <w:sz w:val="24"/>
          <w:szCs w:val="24"/>
        </w:rPr>
        <w:fldChar w:fldCharType="end"/>
      </w:r>
    </w:p>
    <w:p>
      <w:pPr>
        <w:ind w:firstLine="960" w:firstLineChars="400"/>
        <w:rPr>
          <w:rFonts w:ascii="宋体" w:hAnsi="宋体"/>
          <w:sz w:val="24"/>
          <w:szCs w:val="24"/>
        </w:rPr>
      </w:pPr>
      <w:r>
        <w:rPr>
          <w:rFonts w:hint="eastAsia" w:ascii="宋体" w:hAnsi="宋体"/>
          <w:sz w:val="24"/>
          <w:szCs w:val="24"/>
        </w:rPr>
        <w:t>竞价开始时间为</w:t>
      </w:r>
      <w:r>
        <w:rPr>
          <w:rFonts w:hint="eastAsia" w:ascii="宋体" w:hAnsi="宋体"/>
          <w:color w:val="FF0000"/>
          <w:sz w:val="24"/>
          <w:szCs w:val="24"/>
        </w:rPr>
        <w:t>202</w:t>
      </w:r>
      <w:r>
        <w:rPr>
          <w:rFonts w:ascii="宋体" w:hAnsi="宋体"/>
          <w:color w:val="FF0000"/>
          <w:sz w:val="24"/>
          <w:szCs w:val="24"/>
        </w:rPr>
        <w:t>4</w:t>
      </w:r>
      <w:r>
        <w:rPr>
          <w:rFonts w:hint="eastAsia" w:ascii="宋体" w:hAnsi="宋体"/>
          <w:color w:val="FF0000"/>
          <w:sz w:val="24"/>
          <w:szCs w:val="24"/>
        </w:rPr>
        <w:t>年6月</w:t>
      </w:r>
      <w:r>
        <w:rPr>
          <w:rFonts w:ascii="宋体" w:hAnsi="宋体"/>
          <w:color w:val="FF0000"/>
          <w:sz w:val="24"/>
          <w:szCs w:val="24"/>
        </w:rPr>
        <w:t>12</w:t>
      </w:r>
      <w:r>
        <w:rPr>
          <w:rFonts w:hint="eastAsia" w:ascii="宋体" w:hAnsi="宋体"/>
          <w:color w:val="FF0000"/>
          <w:sz w:val="24"/>
          <w:szCs w:val="24"/>
        </w:rPr>
        <w:t>日下午</w:t>
      </w:r>
      <w:r>
        <w:rPr>
          <w:rFonts w:ascii="宋体" w:hAnsi="宋体"/>
          <w:color w:val="FF0000"/>
          <w:sz w:val="24"/>
          <w:szCs w:val="24"/>
        </w:rPr>
        <w:t>15</w:t>
      </w:r>
      <w:r>
        <w:rPr>
          <w:rFonts w:hint="eastAsia" w:ascii="宋体" w:hAnsi="宋体"/>
          <w:color w:val="FF0000"/>
          <w:sz w:val="24"/>
          <w:szCs w:val="24"/>
        </w:rPr>
        <w:t>时</w:t>
      </w:r>
      <w:r>
        <w:rPr>
          <w:rFonts w:ascii="宋体" w:hAnsi="宋体"/>
          <w:color w:val="FF0000"/>
          <w:sz w:val="24"/>
          <w:szCs w:val="24"/>
        </w:rPr>
        <w:t>00</w:t>
      </w:r>
      <w:r>
        <w:rPr>
          <w:rFonts w:hint="eastAsia" w:ascii="宋体" w:hAnsi="宋体"/>
          <w:color w:val="FF0000"/>
          <w:sz w:val="24"/>
          <w:szCs w:val="24"/>
        </w:rPr>
        <w:t>分</w:t>
      </w:r>
      <w:r>
        <w:rPr>
          <w:rFonts w:hint="eastAsia" w:ascii="宋体" w:hAnsi="宋体"/>
          <w:sz w:val="24"/>
          <w:szCs w:val="24"/>
        </w:rPr>
        <w:t>。</w:t>
      </w:r>
    </w:p>
    <w:p>
      <w:pPr>
        <w:ind w:firstLine="960" w:firstLineChars="400"/>
        <w:rPr>
          <w:rFonts w:ascii="宋体" w:hAnsi="宋体"/>
          <w:sz w:val="24"/>
          <w:szCs w:val="24"/>
        </w:rPr>
      </w:pPr>
      <w:r>
        <w:rPr>
          <w:rFonts w:hint="eastAsia" w:ascii="宋体" w:hAnsi="宋体"/>
          <w:sz w:val="24"/>
          <w:szCs w:val="24"/>
        </w:rPr>
        <w:t>竞价时长：</w:t>
      </w:r>
      <w:r>
        <w:rPr>
          <w:rFonts w:ascii="宋体" w:hAnsi="宋体"/>
          <w:sz w:val="24"/>
          <w:szCs w:val="24"/>
        </w:rPr>
        <w:t>60</w:t>
      </w:r>
      <w:r>
        <w:rPr>
          <w:rFonts w:hint="eastAsia" w:ascii="宋体" w:hAnsi="宋体"/>
          <w:sz w:val="24"/>
          <w:szCs w:val="24"/>
        </w:rPr>
        <w:t>分钟，倒计时时长3分钟（报价截止最后3分钟，若有供方出价，则自动延时3分钟）</w:t>
      </w:r>
    </w:p>
    <w:p>
      <w:pPr>
        <w:ind w:firstLine="960" w:firstLineChars="400"/>
        <w:rPr>
          <w:rFonts w:ascii="宋体" w:hAnsi="宋体"/>
          <w:sz w:val="24"/>
          <w:szCs w:val="24"/>
        </w:rPr>
      </w:pPr>
      <w:r>
        <w:rPr>
          <w:rFonts w:hint="eastAsia" w:ascii="宋体" w:hAnsi="宋体"/>
          <w:sz w:val="24"/>
          <w:szCs w:val="24"/>
        </w:rPr>
        <w:t>最小竞价幅度:</w:t>
      </w:r>
      <w:r>
        <w:rPr>
          <w:rFonts w:ascii="宋体" w:hAnsi="宋体"/>
          <w:color w:val="FF0000"/>
          <w:sz w:val="24"/>
          <w:szCs w:val="24"/>
        </w:rPr>
        <w:t>1</w:t>
      </w:r>
      <w:r>
        <w:rPr>
          <w:rFonts w:hint="eastAsia" w:ascii="宋体" w:hAnsi="宋体"/>
          <w:color w:val="FF0000"/>
          <w:sz w:val="24"/>
          <w:szCs w:val="24"/>
          <w:lang w:val="en-US" w:eastAsia="zh-CN"/>
        </w:rPr>
        <w:t>415</w:t>
      </w:r>
      <w:r>
        <w:rPr>
          <w:rFonts w:ascii="宋体" w:hAnsi="宋体"/>
          <w:color w:val="FF0000"/>
          <w:sz w:val="24"/>
          <w:szCs w:val="24"/>
        </w:rPr>
        <w:t>.5</w:t>
      </w:r>
      <w:r>
        <w:rPr>
          <w:rFonts w:hint="eastAsia" w:ascii="宋体" w:hAnsi="宋体"/>
          <w:color w:val="FF0000"/>
          <w:sz w:val="24"/>
          <w:szCs w:val="24"/>
        </w:rPr>
        <w:t>元</w:t>
      </w:r>
      <w:r>
        <w:rPr>
          <w:rFonts w:hint="eastAsia" w:ascii="宋体" w:hAnsi="宋体"/>
          <w:sz w:val="24"/>
          <w:szCs w:val="24"/>
        </w:rPr>
        <w:t>（每项单价最小竞价幅度为</w:t>
      </w:r>
      <w:r>
        <w:rPr>
          <w:rFonts w:ascii="宋体" w:hAnsi="宋体"/>
          <w:sz w:val="24"/>
          <w:szCs w:val="24"/>
        </w:rPr>
        <w:t>0.1</w:t>
      </w:r>
      <w:r>
        <w:rPr>
          <w:rFonts w:hint="eastAsia" w:ascii="宋体" w:hAnsi="宋体"/>
          <w:sz w:val="24"/>
          <w:szCs w:val="24"/>
        </w:rPr>
        <w:t>元）</w:t>
      </w:r>
    </w:p>
    <w:p>
      <w:pPr>
        <w:ind w:firstLine="480" w:firstLineChars="200"/>
        <w:rPr>
          <w:rFonts w:ascii="宋体" w:hAnsi="宋体"/>
          <w:color w:val="FF0000"/>
          <w:sz w:val="24"/>
          <w:szCs w:val="24"/>
        </w:rPr>
      </w:pPr>
      <w:r>
        <w:rPr>
          <w:rFonts w:hint="eastAsia" w:ascii="宋体" w:hAnsi="宋体"/>
          <w:sz w:val="24"/>
          <w:szCs w:val="24"/>
        </w:rPr>
        <w:t xml:space="preserve"> </w:t>
      </w:r>
      <w:r>
        <w:rPr>
          <w:rFonts w:ascii="宋体" w:hAnsi="宋体"/>
          <w:sz w:val="24"/>
          <w:szCs w:val="24"/>
        </w:rPr>
        <w:t xml:space="preserve">   初始含税总价:</w:t>
      </w:r>
      <w:r>
        <w:rPr>
          <w:rFonts w:ascii="宋体" w:hAnsi="宋体"/>
          <w:color w:val="FF0000"/>
          <w:sz w:val="24"/>
          <w:szCs w:val="24"/>
        </w:rPr>
        <w:t>630125</w:t>
      </w:r>
      <w:r>
        <w:rPr>
          <w:rFonts w:hint="eastAsia" w:ascii="宋体" w:hAnsi="宋体"/>
          <w:color w:val="FF0000"/>
          <w:sz w:val="24"/>
          <w:szCs w:val="24"/>
        </w:rPr>
        <w:t>元</w:t>
      </w:r>
      <w:r>
        <w:rPr>
          <w:rFonts w:hint="eastAsia" w:ascii="宋体" w:hAnsi="宋体"/>
          <w:color w:val="000000" w:themeColor="text1"/>
          <w:sz w:val="24"/>
          <w:szCs w:val="24"/>
          <w14:textFill>
            <w14:solidFill>
              <w14:schemeClr w14:val="tx1"/>
            </w14:solidFill>
          </w14:textFill>
        </w:rPr>
        <w:t>（含税点</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%，含运费）</w:t>
      </w:r>
      <w:bookmarkStart w:id="3" w:name="_GoBack"/>
      <w:bookmarkEnd w:id="3"/>
    </w:p>
    <w:p>
      <w:pPr>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SRM竞价报价含税点</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%，含运费。</w:t>
      </w:r>
    </w:p>
    <w:p>
      <w:pPr>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竞价过程显示排名和金额。</w:t>
      </w:r>
    </w:p>
    <w:p>
      <w:pPr>
        <w:ind w:firstLine="480" w:firstLineChars="200"/>
        <w:rPr>
          <w:rFonts w:ascii="宋体" w:hAnsi="宋体"/>
          <w:color w:val="000000" w:themeColor="text1"/>
          <w:sz w:val="24"/>
          <w:szCs w:val="24"/>
          <w14:textFill>
            <w14:solidFill>
              <w14:schemeClr w14:val="tx1"/>
            </w14:solidFill>
          </w14:textFill>
        </w:rPr>
      </w:pPr>
    </w:p>
    <w:p>
      <w:pPr>
        <w:rPr>
          <w:rFonts w:ascii="宋体" w:hAnsi="宋体"/>
          <w:b/>
          <w:sz w:val="24"/>
          <w:szCs w:val="24"/>
        </w:rPr>
      </w:pPr>
      <w:r>
        <w:rPr>
          <w:rFonts w:hint="eastAsia" w:ascii="宋体" w:hAnsi="宋体"/>
          <w:b/>
          <w:sz w:val="24"/>
          <w:szCs w:val="24"/>
        </w:rPr>
        <w:t>六：竞价原则及方式</w:t>
      </w:r>
    </w:p>
    <w:p>
      <w:pPr>
        <w:rPr>
          <w:rFonts w:ascii="宋体" w:hAnsi="宋体"/>
          <w:b/>
          <w:sz w:val="24"/>
          <w:szCs w:val="24"/>
        </w:rPr>
      </w:pPr>
      <w:r>
        <w:rPr>
          <w:rFonts w:hint="eastAsia" w:ascii="宋体" w:hAnsi="宋体"/>
          <w:sz w:val="24"/>
          <w:szCs w:val="24"/>
        </w:rPr>
        <w:t xml:space="preserve"> </w:t>
      </w:r>
      <w:r>
        <w:rPr>
          <w:rFonts w:ascii="宋体" w:hAnsi="宋体"/>
          <w:sz w:val="24"/>
          <w:szCs w:val="24"/>
        </w:rPr>
        <w:t xml:space="preserve">   1</w:t>
      </w:r>
      <w:r>
        <w:rPr>
          <w:rFonts w:hint="eastAsia" w:ascii="宋体" w:hAnsi="宋体"/>
          <w:sz w:val="24"/>
          <w:szCs w:val="24"/>
        </w:rPr>
        <w:t>、竞价人按要求进行厦门钨业采购门户报名后，我司组织人员进行竞价人资格评审和技术评审，评审合格者获得参与竞价参与资格，评审不合格者无法参与该项目竞价。</w:t>
      </w:r>
    </w:p>
    <w:p>
      <w:pPr>
        <w:rPr>
          <w:rFonts w:ascii="宋体" w:hAnsi="宋体"/>
          <w:sz w:val="24"/>
          <w:szCs w:val="24"/>
        </w:rPr>
      </w:pPr>
      <w:r>
        <w:rPr>
          <w:rFonts w:hint="eastAsia" w:ascii="宋体" w:hAnsi="宋体"/>
          <w:b/>
          <w:sz w:val="24"/>
          <w:szCs w:val="24"/>
        </w:rPr>
        <w:t xml:space="preserve"> </w:t>
      </w:r>
      <w:r>
        <w:rPr>
          <w:rFonts w:ascii="宋体" w:hAnsi="宋体"/>
          <w:b/>
          <w:sz w:val="24"/>
          <w:szCs w:val="24"/>
        </w:rPr>
        <w:t xml:space="preserve">  </w:t>
      </w:r>
      <w:r>
        <w:rPr>
          <w:rFonts w:ascii="宋体" w:hAnsi="宋体"/>
          <w:sz w:val="24"/>
          <w:szCs w:val="24"/>
        </w:rPr>
        <w:t>2</w:t>
      </w:r>
      <w:r>
        <w:rPr>
          <w:rFonts w:hint="eastAsia" w:ascii="宋体" w:hAnsi="宋体"/>
          <w:sz w:val="24"/>
          <w:szCs w:val="24"/>
        </w:rPr>
        <w:t>、评审合格者，获得参与竞价人资格的，按我单位要求的时间参与竞价，竞价通过在厦门钨业采购门户（https://bidding.cxtc.com/srm/home.html）网站进行竞价。竞价结果价格最低者为中标人。</w:t>
      </w:r>
    </w:p>
    <w:p>
      <w:pPr>
        <w:rPr>
          <w:rFonts w:ascii="宋体" w:hAnsi="宋体"/>
          <w:b/>
          <w:sz w:val="24"/>
          <w:szCs w:val="24"/>
        </w:rPr>
      </w:pPr>
    </w:p>
    <w:p>
      <w:pPr>
        <w:rPr>
          <w:rFonts w:ascii="宋体" w:hAnsi="宋体"/>
          <w:b/>
          <w:sz w:val="24"/>
          <w:szCs w:val="24"/>
        </w:rPr>
      </w:pPr>
      <w:r>
        <w:rPr>
          <w:rFonts w:hint="eastAsia" w:ascii="宋体" w:hAnsi="宋体"/>
          <w:b/>
          <w:sz w:val="24"/>
          <w:szCs w:val="24"/>
        </w:rPr>
        <w:t>七：</w:t>
      </w:r>
      <w:bookmarkStart w:id="0" w:name="_Toc490234377"/>
      <w:r>
        <w:rPr>
          <w:rFonts w:hint="eastAsia" w:ascii="宋体" w:hAnsi="宋体"/>
          <w:b/>
          <w:sz w:val="24"/>
          <w:szCs w:val="24"/>
        </w:rPr>
        <w:t>合同条款及格式</w:t>
      </w:r>
      <w:bookmarkEnd w:id="0"/>
    </w:p>
    <w:p>
      <w:pPr>
        <w:ind w:firstLine="480" w:firstLineChars="200"/>
        <w:rPr>
          <w:rFonts w:ascii="宋体" w:hAnsi="宋体"/>
          <w:sz w:val="24"/>
          <w:szCs w:val="24"/>
        </w:rPr>
      </w:pPr>
      <w:r>
        <w:rPr>
          <w:rFonts w:hint="eastAsia" w:ascii="宋体" w:hAnsi="宋体"/>
          <w:sz w:val="24"/>
          <w:szCs w:val="24"/>
        </w:rPr>
        <w:t>见</w:t>
      </w:r>
      <w:r>
        <w:rPr>
          <w:rFonts w:hint="eastAsia" w:ascii="宋体" w:hAnsi="宋体"/>
          <w:b/>
          <w:color w:val="FF0000"/>
          <w:sz w:val="24"/>
          <w:szCs w:val="24"/>
        </w:rPr>
        <w:t>附件1</w:t>
      </w:r>
      <w:r>
        <w:rPr>
          <w:rFonts w:hint="eastAsia" w:ascii="宋体" w:hAnsi="宋体"/>
          <w:sz w:val="24"/>
          <w:szCs w:val="24"/>
        </w:rPr>
        <w:t>合同格式模板为硬性条件。合同条款及格式不允许偏离，偏离则竞价人资格不合格。</w:t>
      </w:r>
    </w:p>
    <w:p>
      <w:pPr>
        <w:ind w:firstLine="480" w:firstLineChars="200"/>
        <w:rPr>
          <w:rFonts w:ascii="宋体" w:hAnsi="宋体"/>
          <w:sz w:val="24"/>
          <w:szCs w:val="24"/>
        </w:rPr>
      </w:pPr>
    </w:p>
    <w:p>
      <w:pPr>
        <w:rPr>
          <w:rFonts w:ascii="宋体" w:hAnsi="宋体"/>
          <w:b/>
          <w:sz w:val="24"/>
          <w:szCs w:val="24"/>
        </w:rPr>
      </w:pPr>
      <w:r>
        <w:rPr>
          <w:rFonts w:hint="eastAsia" w:ascii="宋体" w:hAnsi="宋体"/>
          <w:b/>
          <w:sz w:val="24"/>
          <w:szCs w:val="24"/>
        </w:rPr>
        <w:t>八：付款方式和交期以及质保要求</w:t>
      </w:r>
    </w:p>
    <w:p>
      <w:pPr>
        <w:ind w:firstLine="480" w:firstLineChars="200"/>
        <w:rPr>
          <w:rFonts w:ascii="宋体" w:hAnsi="宋体"/>
          <w:sz w:val="24"/>
          <w:szCs w:val="24"/>
        </w:rPr>
      </w:pPr>
      <w:r>
        <w:rPr>
          <w:rFonts w:hint="eastAsia" w:ascii="宋体" w:hAnsi="宋体"/>
          <w:sz w:val="24"/>
          <w:szCs w:val="24"/>
        </w:rPr>
        <w:t>付款方式如下表，支付方式：银行承兑付款，瓷砖类质保期为</w:t>
      </w:r>
      <w:r>
        <w:rPr>
          <w:rFonts w:ascii="宋体" w:hAnsi="宋体"/>
          <w:sz w:val="24"/>
          <w:szCs w:val="24"/>
        </w:rPr>
        <w:t>2</w:t>
      </w:r>
      <w:r>
        <w:rPr>
          <w:rFonts w:hint="eastAsia" w:ascii="宋体" w:hAnsi="宋体"/>
          <w:sz w:val="24"/>
          <w:szCs w:val="24"/>
        </w:rPr>
        <w:t>年，自货物到达甲方厂区并验收合格之日起算。瓷砖类交期要求合同签订预付款到款后，1</w:t>
      </w:r>
      <w:r>
        <w:rPr>
          <w:rFonts w:ascii="宋体" w:hAnsi="宋体"/>
          <w:sz w:val="24"/>
          <w:szCs w:val="24"/>
        </w:rPr>
        <w:t>5</w:t>
      </w:r>
      <w:r>
        <w:rPr>
          <w:rFonts w:hint="eastAsia" w:ascii="宋体" w:hAnsi="宋体"/>
          <w:sz w:val="24"/>
          <w:szCs w:val="24"/>
        </w:rPr>
        <w:t>天内全部完成交付。付款方式和交期以及质保要求为硬性条件。不允许偏离，偏离则竞价人资格不合格。</w:t>
      </w:r>
    </w:p>
    <w:tbl>
      <w:tblPr>
        <w:tblStyle w:val="10"/>
        <w:tblW w:w="8880" w:type="dxa"/>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76"/>
        <w:gridCol w:w="1737"/>
        <w:gridCol w:w="53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支付期次</w:t>
            </w:r>
          </w:p>
        </w:tc>
        <w:tc>
          <w:tcPr>
            <w:tcW w:w="1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支付比例(%)</w:t>
            </w:r>
          </w:p>
          <w:p>
            <w:pPr>
              <w:widowControl/>
              <w:adjustRightInd/>
              <w:spacing w:line="240" w:lineRule="auto"/>
              <w:jc w:val="left"/>
              <w:rPr>
                <w:rFonts w:ascii="宋体" w:hAnsi="宋体"/>
                <w:sz w:val="24"/>
                <w:szCs w:val="24"/>
              </w:rPr>
            </w:pPr>
          </w:p>
        </w:tc>
        <w:tc>
          <w:tcPr>
            <w:tcW w:w="53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1</w:t>
            </w:r>
          </w:p>
        </w:tc>
        <w:tc>
          <w:tcPr>
            <w:tcW w:w="1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2</w:t>
            </w:r>
            <w:r>
              <w:rPr>
                <w:rFonts w:ascii="宋体" w:hAnsi="宋体"/>
                <w:sz w:val="24"/>
                <w:szCs w:val="24"/>
              </w:rPr>
              <w:t>0</w:t>
            </w:r>
          </w:p>
        </w:tc>
        <w:tc>
          <w:tcPr>
            <w:tcW w:w="53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合同签订后</w:t>
            </w:r>
            <w:r>
              <w:rPr>
                <w:rFonts w:ascii="宋体" w:hAnsi="宋体"/>
                <w:sz w:val="24"/>
                <w:szCs w:val="24"/>
              </w:rPr>
              <w:t>15</w:t>
            </w:r>
            <w:r>
              <w:rPr>
                <w:rFonts w:hint="eastAsia" w:ascii="宋体" w:hAnsi="宋体"/>
                <w:sz w:val="24"/>
                <w:szCs w:val="24"/>
              </w:rPr>
              <w:t>个工作日内甲方预付合同总金额的</w:t>
            </w:r>
            <w:r>
              <w:rPr>
                <w:rFonts w:ascii="宋体" w:hAnsi="宋体"/>
                <w:sz w:val="24"/>
                <w:szCs w:val="24"/>
              </w:rPr>
              <w:t>20</w:t>
            </w:r>
            <w:r>
              <w:rPr>
                <w:rFonts w:hint="eastAsia" w:ascii="宋体" w:hAns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2</w:t>
            </w:r>
          </w:p>
        </w:tc>
        <w:tc>
          <w:tcPr>
            <w:tcW w:w="1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6</w:t>
            </w:r>
            <w:r>
              <w:rPr>
                <w:rFonts w:ascii="宋体" w:hAnsi="宋体"/>
                <w:sz w:val="24"/>
                <w:szCs w:val="24"/>
              </w:rPr>
              <w:t>0</w:t>
            </w:r>
          </w:p>
        </w:tc>
        <w:tc>
          <w:tcPr>
            <w:tcW w:w="53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货物到甲方厂区后，提供质量证明书、检测报告等，验收合格后</w:t>
            </w:r>
            <w:r>
              <w:rPr>
                <w:rFonts w:ascii="宋体" w:hAnsi="宋体"/>
                <w:sz w:val="24"/>
                <w:szCs w:val="24"/>
              </w:rPr>
              <w:t>15</w:t>
            </w:r>
            <w:r>
              <w:rPr>
                <w:rFonts w:hint="eastAsia" w:ascii="宋体" w:hAnsi="宋体"/>
                <w:sz w:val="24"/>
                <w:szCs w:val="24"/>
              </w:rPr>
              <w:t>个工作日内甲方支付合同总金额的</w:t>
            </w:r>
            <w:r>
              <w:rPr>
                <w:rFonts w:ascii="宋体" w:hAnsi="宋体"/>
                <w:sz w:val="24"/>
                <w:szCs w:val="24"/>
              </w:rPr>
              <w:t>60</w:t>
            </w:r>
            <w:r>
              <w:rPr>
                <w:rFonts w:hint="eastAsia" w:ascii="宋体" w:hAns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3</w:t>
            </w:r>
          </w:p>
        </w:tc>
        <w:tc>
          <w:tcPr>
            <w:tcW w:w="1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2</w:t>
            </w:r>
            <w:r>
              <w:rPr>
                <w:rFonts w:ascii="宋体" w:hAnsi="宋体"/>
                <w:sz w:val="24"/>
                <w:szCs w:val="24"/>
              </w:rPr>
              <w:t>0</w:t>
            </w:r>
          </w:p>
        </w:tc>
        <w:tc>
          <w:tcPr>
            <w:tcW w:w="53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spacing w:line="240" w:lineRule="auto"/>
              <w:jc w:val="left"/>
              <w:rPr>
                <w:rFonts w:ascii="宋体" w:hAnsi="宋体"/>
                <w:sz w:val="24"/>
                <w:szCs w:val="24"/>
              </w:rPr>
            </w:pPr>
            <w:r>
              <w:rPr>
                <w:rFonts w:hint="eastAsia" w:ascii="宋体" w:hAnsi="宋体"/>
                <w:sz w:val="24"/>
                <w:szCs w:val="24"/>
              </w:rPr>
              <w:t>剩余的合同总金额</w:t>
            </w:r>
            <w:r>
              <w:rPr>
                <w:rFonts w:ascii="宋体" w:hAnsi="宋体"/>
                <w:sz w:val="24"/>
                <w:szCs w:val="24"/>
              </w:rPr>
              <w:t>20</w:t>
            </w:r>
            <w:r>
              <w:rPr>
                <w:rFonts w:hint="eastAsia" w:ascii="宋体" w:hAnsi="宋体"/>
                <w:sz w:val="24"/>
                <w:szCs w:val="24"/>
              </w:rPr>
              <w:t>%货款作为质保金，待验收合格后质保期1年满并确认；</w:t>
            </w:r>
          </w:p>
        </w:tc>
      </w:tr>
    </w:tbl>
    <w:p>
      <w:pPr>
        <w:rPr>
          <w:rFonts w:ascii="宋体" w:hAnsi="宋体"/>
          <w:sz w:val="24"/>
          <w:szCs w:val="24"/>
        </w:rPr>
      </w:pPr>
    </w:p>
    <w:p>
      <w:pPr>
        <w:rPr>
          <w:rFonts w:ascii="宋体" w:hAnsi="宋体"/>
          <w:b/>
          <w:sz w:val="24"/>
          <w:szCs w:val="24"/>
        </w:rPr>
      </w:pPr>
      <w:r>
        <w:rPr>
          <w:rFonts w:hint="eastAsia" w:ascii="宋体" w:hAnsi="宋体"/>
          <w:b/>
          <w:sz w:val="24"/>
          <w:szCs w:val="24"/>
        </w:rPr>
        <w:t>九：技术要求</w:t>
      </w: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见</w:t>
      </w:r>
      <w:r>
        <w:rPr>
          <w:rFonts w:hint="eastAsia" w:ascii="宋体" w:hAnsi="宋体"/>
          <w:b/>
          <w:color w:val="FF0000"/>
          <w:sz w:val="24"/>
          <w:szCs w:val="24"/>
        </w:rPr>
        <w:t>附件2</w:t>
      </w:r>
      <w:r>
        <w:rPr>
          <w:rFonts w:hint="eastAsia" w:ascii="宋体" w:hAnsi="宋体"/>
          <w:sz w:val="24"/>
          <w:szCs w:val="24"/>
        </w:rPr>
        <w:t xml:space="preserve">：瓷砖类采购项目技术要求为硬性条件。技术要求不允许负偏离，存在负偏离则竞价人资格不合格。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24"/>
          <w:szCs w:val="24"/>
        </w:rPr>
      </w:pPr>
    </w:p>
    <w:p>
      <w:pPr>
        <w:rPr>
          <w:rFonts w:ascii="宋体" w:hAnsi="宋体"/>
          <w:sz w:val="24"/>
          <w:szCs w:val="24"/>
        </w:rPr>
      </w:pPr>
    </w:p>
    <w:p>
      <w:pPr>
        <w:rPr>
          <w:rFonts w:ascii="宋体" w:hAnsi="宋体"/>
          <w:sz w:val="24"/>
          <w:szCs w:val="24"/>
        </w:rPr>
      </w:pPr>
    </w:p>
    <w:p/>
    <w:p>
      <w:pPr>
        <w:rPr>
          <w:rFonts w:ascii="宋体" w:hAnsi="宋体"/>
          <w:b/>
          <w:bCs/>
          <w:sz w:val="28"/>
        </w:rPr>
      </w:pPr>
      <w:bookmarkStart w:id="1" w:name="_Toc148349031"/>
      <w:r>
        <w:rPr>
          <w:rFonts w:hint="eastAsia" w:ascii="宋体" w:hAnsi="宋体"/>
          <w:b/>
          <w:bCs/>
          <w:sz w:val="28"/>
        </w:rPr>
        <w:t>附件1：采购合同（模板）</w:t>
      </w:r>
      <w:bookmarkEnd w:id="1"/>
    </w:p>
    <w:p>
      <w:pPr>
        <w:rPr>
          <w:rFonts w:ascii="宋体" w:hAnsi="宋体"/>
          <w:color w:val="000000"/>
          <w:sz w:val="24"/>
        </w:rPr>
      </w:pPr>
      <w:r>
        <w:rPr>
          <w:b/>
          <w:bCs/>
          <w:color w:val="000000"/>
          <w:szCs w:val="21"/>
        </w:rPr>
        <w:t xml:space="preserve">                                                         </w:t>
      </w:r>
      <w:r>
        <w:rPr>
          <w:rFonts w:hint="eastAsia" w:ascii="宋体" w:hAnsi="宋体"/>
          <w:color w:val="000000"/>
          <w:sz w:val="24"/>
        </w:rPr>
        <w:t>合同编号：</w:t>
      </w:r>
    </w:p>
    <w:p>
      <w:pP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签订地点：福建长汀</w:t>
      </w:r>
    </w:p>
    <w:tbl>
      <w:tblPr>
        <w:tblStyle w:val="10"/>
        <w:tblW w:w="0" w:type="auto"/>
        <w:tblInd w:w="0" w:type="dxa"/>
        <w:tblLayout w:type="autofit"/>
        <w:tblCellMar>
          <w:top w:w="0" w:type="dxa"/>
          <w:left w:w="108" w:type="dxa"/>
          <w:bottom w:w="0" w:type="dxa"/>
          <w:right w:w="108" w:type="dxa"/>
        </w:tblCellMar>
      </w:tblPr>
      <w:tblGrid>
        <w:gridCol w:w="5387"/>
      </w:tblGrid>
      <w:tr>
        <w:tblPrEx>
          <w:tblCellMar>
            <w:top w:w="0" w:type="dxa"/>
            <w:left w:w="108" w:type="dxa"/>
            <w:bottom w:w="0" w:type="dxa"/>
            <w:right w:w="108" w:type="dxa"/>
          </w:tblCellMar>
        </w:tblPrEx>
        <w:tc>
          <w:tcPr>
            <w:tcW w:w="5387"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买方：</w:t>
            </w:r>
            <w:r>
              <w:rPr>
                <w:rFonts w:hint="eastAsia" w:asciiTheme="minorEastAsia" w:hAnsiTheme="minorEastAsia" w:eastAsiaTheme="minorEastAsia"/>
                <w:b/>
                <w:color w:val="000000"/>
                <w:kern w:val="2"/>
                <w:sz w:val="24"/>
                <w:u w:val="single"/>
              </w:rPr>
              <w:t xml:space="preserve">                   </w:t>
            </w:r>
            <w:r>
              <w:rPr>
                <w:rFonts w:hint="eastAsia" w:asciiTheme="minorEastAsia" w:hAnsiTheme="minorEastAsia" w:eastAsiaTheme="minorEastAsia"/>
                <w:b/>
                <w:color w:val="000000"/>
                <w:kern w:val="2"/>
                <w:sz w:val="24"/>
              </w:rPr>
              <w:t xml:space="preserve"> </w:t>
            </w:r>
            <w:r>
              <w:rPr>
                <w:rFonts w:hint="eastAsia" w:asciiTheme="minorEastAsia" w:hAnsiTheme="minorEastAsia" w:eastAsiaTheme="minorEastAsia"/>
                <w:color w:val="000000"/>
                <w:kern w:val="2"/>
                <w:sz w:val="24"/>
              </w:rPr>
              <w:t>（以下简称“甲方”）</w:t>
            </w:r>
          </w:p>
        </w:tc>
      </w:tr>
      <w:tr>
        <w:tblPrEx>
          <w:tblCellMar>
            <w:top w:w="0" w:type="dxa"/>
            <w:left w:w="108" w:type="dxa"/>
            <w:bottom w:w="0" w:type="dxa"/>
            <w:right w:w="108" w:type="dxa"/>
          </w:tblCellMar>
        </w:tblPrEx>
        <w:tc>
          <w:tcPr>
            <w:tcW w:w="5387"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卖方：</w:t>
            </w:r>
            <w:r>
              <w:rPr>
                <w:rFonts w:hint="eastAsia" w:asciiTheme="minorEastAsia" w:hAnsiTheme="minorEastAsia" w:eastAsiaTheme="minorEastAsia"/>
                <w:color w:val="000000"/>
                <w:kern w:val="2"/>
                <w:sz w:val="24"/>
                <w:u w:val="single"/>
              </w:rPr>
              <w:t xml:space="preserve">                   </w:t>
            </w:r>
            <w:r>
              <w:rPr>
                <w:rFonts w:hint="eastAsia" w:asciiTheme="minorEastAsia" w:hAnsiTheme="minorEastAsia" w:eastAsiaTheme="minorEastAsia"/>
                <w:color w:val="000000"/>
                <w:kern w:val="2"/>
                <w:sz w:val="24"/>
              </w:rPr>
              <w:t xml:space="preserve"> （以下简称“乙方”）</w:t>
            </w:r>
          </w:p>
        </w:tc>
      </w:tr>
    </w:tbl>
    <w:p>
      <w:pPr>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经甲、乙双方友好协商，本着平等互利的原则，根据</w:t>
      </w:r>
      <w:r>
        <w:rPr>
          <w:rFonts w:hint="eastAsia" w:asciiTheme="minorEastAsia" w:hAnsiTheme="minorEastAsia" w:eastAsiaTheme="minorEastAsia"/>
          <w:color w:val="000000" w:themeColor="text1"/>
          <w:sz w:val="24"/>
          <w14:textFill>
            <w14:solidFill>
              <w14:schemeClr w14:val="tx1"/>
            </w14:solidFill>
          </w14:textFill>
        </w:rPr>
        <w:t>《民法典》</w:t>
      </w:r>
      <w:r>
        <w:rPr>
          <w:rFonts w:hint="eastAsia" w:asciiTheme="minorEastAsia" w:hAnsiTheme="minorEastAsia" w:eastAsiaTheme="minorEastAsia"/>
          <w:color w:val="000000"/>
          <w:sz w:val="24"/>
        </w:rPr>
        <w:t>及相关法律法规的规定，就甲方向乙方采购以下货物达成如下约定：</w:t>
      </w:r>
    </w:p>
    <w:p>
      <w:pPr>
        <w:rPr>
          <w:rFonts w:asciiTheme="minorEastAsia" w:hAnsiTheme="minorEastAsia" w:eastAsiaTheme="minorEastAsia"/>
          <w:b/>
          <w:bCs/>
          <w:color w:val="000000"/>
          <w:sz w:val="24"/>
        </w:rPr>
      </w:pPr>
      <w:r>
        <w:rPr>
          <w:rFonts w:hint="eastAsia" w:asciiTheme="minorEastAsia" w:hAnsiTheme="minorEastAsia" w:eastAsiaTheme="minorEastAsia"/>
          <w:color w:val="000000"/>
          <w:sz w:val="24"/>
        </w:rPr>
        <w:t>一、</w:t>
      </w:r>
      <w:r>
        <w:rPr>
          <w:rFonts w:hint="eastAsia" w:asciiTheme="minorEastAsia" w:hAnsiTheme="minorEastAsia" w:eastAsiaTheme="minorEastAsia"/>
          <w:b/>
          <w:color w:val="000000"/>
          <w:sz w:val="24"/>
        </w:rPr>
        <w:t>货物名称、型号、数量、单位、单价等信息</w:t>
      </w:r>
    </w:p>
    <w:tbl>
      <w:tblPr>
        <w:tblStyle w:val="10"/>
        <w:tblW w:w="8780" w:type="dxa"/>
        <w:tblInd w:w="-421" w:type="dxa"/>
        <w:tblLayout w:type="fixed"/>
        <w:tblCellMar>
          <w:top w:w="0" w:type="dxa"/>
          <w:left w:w="0" w:type="dxa"/>
          <w:bottom w:w="0" w:type="dxa"/>
          <w:right w:w="0" w:type="dxa"/>
        </w:tblCellMar>
      </w:tblPr>
      <w:tblGrid>
        <w:gridCol w:w="558"/>
        <w:gridCol w:w="851"/>
        <w:gridCol w:w="992"/>
        <w:gridCol w:w="992"/>
        <w:gridCol w:w="567"/>
        <w:gridCol w:w="567"/>
        <w:gridCol w:w="851"/>
        <w:gridCol w:w="708"/>
        <w:gridCol w:w="851"/>
        <w:gridCol w:w="709"/>
        <w:gridCol w:w="1134"/>
      </w:tblGrid>
      <w:tr>
        <w:tblPrEx>
          <w:tblCellMar>
            <w:top w:w="0" w:type="dxa"/>
            <w:left w:w="0" w:type="dxa"/>
            <w:bottom w:w="0" w:type="dxa"/>
            <w:right w:w="0" w:type="dxa"/>
          </w:tblCellMar>
        </w:tblPrEx>
        <w:trPr>
          <w:trHeight w:val="468" w:hRule="atLeast"/>
        </w:trPr>
        <w:tc>
          <w:tcPr>
            <w:tcW w:w="558"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r>
              <w:rPr>
                <w:rFonts w:hint="eastAsia"/>
              </w:rPr>
              <w:t>序号</w:t>
            </w:r>
          </w:p>
        </w:tc>
        <w:tc>
          <w:tcPr>
            <w:tcW w:w="851" w:type="dxa"/>
            <w:tcBorders>
              <w:top w:val="single" w:color="auto" w:sz="4" w:space="0"/>
              <w:left w:val="single" w:color="auto" w:sz="4" w:space="0"/>
              <w:bottom w:val="single" w:color="auto" w:sz="4" w:space="0"/>
              <w:right w:val="single" w:color="auto" w:sz="4" w:space="0"/>
            </w:tcBorders>
            <w:noWrap/>
            <w:vAlign w:val="center"/>
          </w:tcPr>
          <w:p>
            <w:pPr>
              <w:ind w:left="20" w:leftChars="10" w:right="20" w:rightChars="10"/>
              <w:jc w:val="center"/>
            </w:pPr>
            <w:r>
              <w:rPr>
                <w:rFonts w:hint="eastAsia"/>
              </w:rPr>
              <w:t>产品名称</w:t>
            </w:r>
          </w:p>
        </w:tc>
        <w:tc>
          <w:tcPr>
            <w:tcW w:w="992"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r>
              <w:rPr>
                <w:rFonts w:hint="eastAsia"/>
              </w:rPr>
              <w:t>规格</w:t>
            </w:r>
            <w:r>
              <w:t>/型号</w:t>
            </w:r>
          </w:p>
        </w:tc>
        <w:tc>
          <w:tcPr>
            <w:tcW w:w="992" w:type="dxa"/>
            <w:tcBorders>
              <w:top w:val="single" w:color="auto" w:sz="4" w:space="0"/>
              <w:left w:val="nil"/>
              <w:bottom w:val="single" w:color="auto" w:sz="4" w:space="0"/>
              <w:right w:val="single" w:color="auto" w:sz="4" w:space="0"/>
            </w:tcBorders>
            <w:noWrap/>
            <w:vAlign w:val="center"/>
          </w:tcPr>
          <w:p>
            <w:pPr>
              <w:ind w:left="20" w:leftChars="10" w:right="20" w:rightChars="10"/>
              <w:jc w:val="center"/>
            </w:pPr>
            <w:r>
              <w:rPr>
                <w:rFonts w:hint="eastAsia"/>
              </w:rPr>
              <w:t>厂家/品牌</w:t>
            </w:r>
          </w:p>
        </w:tc>
        <w:tc>
          <w:tcPr>
            <w:tcW w:w="567" w:type="dxa"/>
            <w:tcBorders>
              <w:top w:val="single" w:color="auto" w:sz="4" w:space="0"/>
              <w:left w:val="nil"/>
              <w:bottom w:val="single" w:color="auto" w:sz="4" w:space="0"/>
              <w:right w:val="single" w:color="auto" w:sz="4" w:space="0"/>
            </w:tcBorders>
            <w:noWrap/>
            <w:vAlign w:val="center"/>
          </w:tcPr>
          <w:p>
            <w:pPr>
              <w:ind w:left="20" w:leftChars="10" w:right="20" w:rightChars="10"/>
              <w:jc w:val="center"/>
            </w:pPr>
            <w:r>
              <w:rPr>
                <w:rFonts w:hint="eastAsia"/>
              </w:rPr>
              <w:t>数量</w:t>
            </w:r>
          </w:p>
        </w:tc>
        <w:tc>
          <w:tcPr>
            <w:tcW w:w="567" w:type="dxa"/>
            <w:tcBorders>
              <w:top w:val="single" w:color="auto" w:sz="4" w:space="0"/>
              <w:left w:val="nil"/>
              <w:bottom w:val="single" w:color="auto" w:sz="4" w:space="0"/>
              <w:right w:val="single" w:color="auto" w:sz="4" w:space="0"/>
            </w:tcBorders>
            <w:noWrap/>
            <w:vAlign w:val="center"/>
          </w:tcPr>
          <w:p>
            <w:pPr>
              <w:ind w:left="20" w:leftChars="10" w:right="20" w:rightChars="10"/>
              <w:jc w:val="center"/>
            </w:pPr>
            <w:r>
              <w:rPr>
                <w:rFonts w:hint="eastAsia"/>
              </w:rPr>
              <w:t>单位</w:t>
            </w:r>
          </w:p>
        </w:tc>
        <w:tc>
          <w:tcPr>
            <w:tcW w:w="851" w:type="dxa"/>
            <w:tcBorders>
              <w:top w:val="single" w:color="auto" w:sz="4" w:space="0"/>
              <w:left w:val="nil"/>
              <w:bottom w:val="single" w:color="auto" w:sz="4" w:space="0"/>
              <w:right w:val="single" w:color="auto" w:sz="4" w:space="0"/>
            </w:tcBorders>
            <w:vAlign w:val="center"/>
          </w:tcPr>
          <w:p>
            <w:pPr>
              <w:ind w:left="20" w:leftChars="10" w:right="20" w:rightChars="10"/>
              <w:jc w:val="center"/>
            </w:pPr>
            <w:r>
              <w:rPr>
                <w:rFonts w:hint="eastAsia"/>
              </w:rPr>
              <w:t>单价（元）</w:t>
            </w:r>
          </w:p>
        </w:tc>
        <w:tc>
          <w:tcPr>
            <w:tcW w:w="708" w:type="dxa"/>
            <w:tcBorders>
              <w:top w:val="single" w:color="auto" w:sz="4" w:space="0"/>
              <w:left w:val="nil"/>
              <w:bottom w:val="single" w:color="auto" w:sz="4" w:space="0"/>
              <w:right w:val="single" w:color="auto" w:sz="4" w:space="0"/>
            </w:tcBorders>
            <w:noWrap/>
            <w:vAlign w:val="center"/>
          </w:tcPr>
          <w:p>
            <w:pPr>
              <w:ind w:left="20" w:leftChars="10" w:right="20" w:rightChars="10"/>
              <w:jc w:val="center"/>
            </w:pPr>
            <w:r>
              <w:rPr>
                <w:rFonts w:hint="eastAsia"/>
              </w:rPr>
              <w:t>总金额（元）</w:t>
            </w:r>
          </w:p>
        </w:tc>
        <w:tc>
          <w:tcPr>
            <w:tcW w:w="851" w:type="dxa"/>
            <w:tcBorders>
              <w:top w:val="single" w:color="auto" w:sz="4" w:space="0"/>
              <w:left w:val="nil"/>
              <w:bottom w:val="single" w:color="auto" w:sz="4" w:space="0"/>
              <w:right w:val="single" w:color="auto" w:sz="4" w:space="0"/>
            </w:tcBorders>
            <w:vAlign w:val="center"/>
          </w:tcPr>
          <w:p>
            <w:pPr>
              <w:ind w:left="20" w:leftChars="10" w:right="20" w:rightChars="10"/>
              <w:jc w:val="center"/>
            </w:pPr>
            <w:r>
              <w:rPr>
                <w:rFonts w:hint="eastAsia"/>
              </w:rPr>
              <w:t>交货日期</w:t>
            </w:r>
          </w:p>
        </w:tc>
        <w:tc>
          <w:tcPr>
            <w:tcW w:w="709"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r>
              <w:rPr>
                <w:rFonts w:hint="eastAsia"/>
              </w:rPr>
              <w:t>税率（%）</w:t>
            </w:r>
          </w:p>
        </w:tc>
        <w:tc>
          <w:tcPr>
            <w:tcW w:w="1134"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r>
              <w:rPr>
                <w:rFonts w:hint="eastAsia"/>
              </w:rPr>
              <w:t>备注</w:t>
            </w:r>
          </w:p>
        </w:tc>
      </w:tr>
      <w:tr>
        <w:tblPrEx>
          <w:tblCellMar>
            <w:top w:w="0" w:type="dxa"/>
            <w:left w:w="0" w:type="dxa"/>
            <w:bottom w:w="0" w:type="dxa"/>
            <w:right w:w="0" w:type="dxa"/>
          </w:tblCellMar>
        </w:tblPrEx>
        <w:trPr>
          <w:trHeight w:val="482" w:hRule="atLeast"/>
        </w:trPr>
        <w:tc>
          <w:tcPr>
            <w:tcW w:w="558" w:type="dxa"/>
            <w:tcBorders>
              <w:top w:val="nil"/>
              <w:left w:val="single" w:color="auto" w:sz="4" w:space="0"/>
              <w:bottom w:val="single" w:color="auto" w:sz="4" w:space="0"/>
              <w:right w:val="single" w:color="auto" w:sz="4" w:space="0"/>
            </w:tcBorders>
            <w:vAlign w:val="center"/>
          </w:tcPr>
          <w:p>
            <w:pPr>
              <w:ind w:right="20" w:rightChars="10"/>
            </w:pPr>
          </w:p>
        </w:tc>
        <w:tc>
          <w:tcPr>
            <w:tcW w:w="851" w:type="dxa"/>
            <w:tcBorders>
              <w:top w:val="nil"/>
              <w:left w:val="single" w:color="auto" w:sz="4" w:space="0"/>
              <w:bottom w:val="single" w:color="auto" w:sz="4" w:space="0"/>
              <w:right w:val="single" w:color="auto" w:sz="4" w:space="0"/>
            </w:tcBorders>
            <w:vAlign w:val="center"/>
          </w:tcPr>
          <w:p>
            <w:pPr>
              <w:ind w:left="20" w:leftChars="10" w:right="20" w:rightChars="10"/>
              <w:jc w:val="center"/>
            </w:pPr>
          </w:p>
        </w:tc>
        <w:tc>
          <w:tcPr>
            <w:tcW w:w="992" w:type="dxa"/>
            <w:tcBorders>
              <w:top w:val="nil"/>
              <w:left w:val="single" w:color="auto" w:sz="4" w:space="0"/>
              <w:bottom w:val="single" w:color="auto" w:sz="4" w:space="0"/>
              <w:right w:val="single" w:color="auto" w:sz="4" w:space="0"/>
            </w:tcBorders>
            <w:vAlign w:val="center"/>
          </w:tcPr>
          <w:p>
            <w:pPr>
              <w:ind w:left="20" w:leftChars="10" w:right="20" w:rightChars="10"/>
              <w:jc w:val="center"/>
            </w:pPr>
          </w:p>
        </w:tc>
        <w:tc>
          <w:tcPr>
            <w:tcW w:w="992" w:type="dxa"/>
            <w:tcBorders>
              <w:top w:val="nil"/>
              <w:left w:val="nil"/>
              <w:bottom w:val="single" w:color="auto" w:sz="4" w:space="0"/>
              <w:right w:val="single" w:color="auto" w:sz="4" w:space="0"/>
            </w:tcBorders>
            <w:noWrap/>
            <w:vAlign w:val="center"/>
          </w:tcPr>
          <w:p>
            <w:pPr>
              <w:ind w:left="20" w:leftChars="10" w:right="20" w:rightChars="10"/>
              <w:jc w:val="center"/>
            </w:pPr>
          </w:p>
        </w:tc>
        <w:tc>
          <w:tcPr>
            <w:tcW w:w="567" w:type="dxa"/>
            <w:tcBorders>
              <w:top w:val="nil"/>
              <w:left w:val="nil"/>
              <w:bottom w:val="single" w:color="auto" w:sz="4" w:space="0"/>
              <w:right w:val="single" w:color="auto" w:sz="4" w:space="0"/>
            </w:tcBorders>
            <w:noWrap/>
            <w:vAlign w:val="center"/>
          </w:tcPr>
          <w:p>
            <w:pPr>
              <w:ind w:left="20" w:leftChars="10" w:right="20" w:rightChars="10"/>
              <w:jc w:val="center"/>
            </w:pPr>
          </w:p>
        </w:tc>
        <w:tc>
          <w:tcPr>
            <w:tcW w:w="567" w:type="dxa"/>
            <w:tcBorders>
              <w:top w:val="nil"/>
              <w:left w:val="nil"/>
              <w:bottom w:val="single" w:color="auto" w:sz="4" w:space="0"/>
              <w:right w:val="single" w:color="auto" w:sz="4" w:space="0"/>
            </w:tcBorders>
            <w:noWrap/>
            <w:vAlign w:val="center"/>
          </w:tcPr>
          <w:p>
            <w:pPr>
              <w:ind w:left="20" w:leftChars="10" w:right="20" w:rightChars="10"/>
              <w:jc w:val="center"/>
            </w:pPr>
          </w:p>
        </w:tc>
        <w:tc>
          <w:tcPr>
            <w:tcW w:w="851" w:type="dxa"/>
            <w:tcBorders>
              <w:top w:val="nil"/>
              <w:left w:val="nil"/>
              <w:bottom w:val="single" w:color="auto" w:sz="4" w:space="0"/>
              <w:right w:val="single" w:color="auto" w:sz="4" w:space="0"/>
            </w:tcBorders>
            <w:vAlign w:val="center"/>
          </w:tcPr>
          <w:p>
            <w:pPr>
              <w:ind w:left="20" w:leftChars="10" w:right="20" w:rightChars="10"/>
              <w:jc w:val="center"/>
            </w:pPr>
          </w:p>
        </w:tc>
        <w:tc>
          <w:tcPr>
            <w:tcW w:w="708" w:type="dxa"/>
            <w:tcBorders>
              <w:top w:val="nil"/>
              <w:left w:val="nil"/>
              <w:bottom w:val="single" w:color="auto" w:sz="4" w:space="0"/>
              <w:right w:val="single" w:color="auto" w:sz="4" w:space="0"/>
            </w:tcBorders>
            <w:noWrap/>
            <w:vAlign w:val="center"/>
          </w:tcPr>
          <w:p>
            <w:pPr>
              <w:ind w:left="20" w:leftChars="10" w:right="20" w:rightChars="10"/>
              <w:jc w:val="center"/>
            </w:pPr>
          </w:p>
        </w:tc>
        <w:tc>
          <w:tcPr>
            <w:tcW w:w="851" w:type="dxa"/>
            <w:tcBorders>
              <w:top w:val="single" w:color="auto" w:sz="4" w:space="0"/>
              <w:left w:val="nil"/>
              <w:bottom w:val="single" w:color="auto" w:sz="4" w:space="0"/>
              <w:right w:val="single" w:color="auto" w:sz="4" w:space="0"/>
            </w:tcBorders>
            <w:vAlign w:val="center"/>
          </w:tcPr>
          <w:p>
            <w:pPr>
              <w:ind w:left="20" w:leftChars="10" w:right="20" w:rightChars="10"/>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ind w:left="20" w:leftChars="10" w:right="20" w:rightChars="10"/>
              <w:jc w:val="center"/>
            </w:pPr>
          </w:p>
        </w:tc>
      </w:tr>
      <w:tr>
        <w:tblPrEx>
          <w:tblCellMar>
            <w:top w:w="0" w:type="dxa"/>
            <w:left w:w="0" w:type="dxa"/>
            <w:bottom w:w="0" w:type="dxa"/>
            <w:right w:w="0" w:type="dxa"/>
          </w:tblCellMar>
        </w:tblPrEx>
        <w:trPr>
          <w:trHeight w:val="40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0" w:leftChars="20" w:right="40" w:rightChars="2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税额合计</w:t>
            </w:r>
          </w:p>
        </w:tc>
        <w:tc>
          <w:tcPr>
            <w:tcW w:w="7371" w:type="dxa"/>
            <w:gridSpan w:val="9"/>
            <w:tcBorders>
              <w:top w:val="single" w:color="auto" w:sz="4" w:space="0"/>
              <w:left w:val="nil"/>
              <w:bottom w:val="single" w:color="auto" w:sz="4" w:space="0"/>
              <w:right w:val="single" w:color="auto" w:sz="4" w:space="0"/>
            </w:tcBorders>
            <w:vAlign w:val="center"/>
          </w:tcPr>
          <w:p>
            <w:pPr>
              <w:spacing w:line="360" w:lineRule="auto"/>
              <w:ind w:left="40" w:leftChars="20" w:right="40" w:rightChars="20"/>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大写人民币：（小写¥）</w:t>
            </w:r>
          </w:p>
        </w:tc>
      </w:tr>
      <w:tr>
        <w:tblPrEx>
          <w:tblCellMar>
            <w:top w:w="0" w:type="dxa"/>
            <w:left w:w="0" w:type="dxa"/>
            <w:bottom w:w="0" w:type="dxa"/>
            <w:right w:w="0" w:type="dxa"/>
          </w:tblCellMar>
        </w:tblPrEx>
        <w:trPr>
          <w:trHeight w:val="40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0" w:leftChars="20" w:right="40" w:rightChars="20"/>
              <w:jc w:val="center"/>
              <w:rPr>
                <w:rFonts w:asciiTheme="minorEastAsia" w:hAnsiTheme="minorEastAsia" w:eastAsiaTheme="minorEastAsia"/>
                <w:b/>
                <w:bCs/>
                <w:szCs w:val="21"/>
              </w:rPr>
            </w:pPr>
            <w:r>
              <w:rPr>
                <w:rFonts w:hint="eastAsia" w:asciiTheme="minorEastAsia" w:hAnsiTheme="minorEastAsia" w:eastAsiaTheme="minorEastAsia"/>
                <w:b/>
                <w:bCs/>
                <w:color w:val="000000"/>
                <w:szCs w:val="21"/>
              </w:rPr>
              <w:t>未税金额合计</w:t>
            </w:r>
          </w:p>
        </w:tc>
        <w:tc>
          <w:tcPr>
            <w:tcW w:w="7371" w:type="dxa"/>
            <w:gridSpan w:val="9"/>
            <w:tcBorders>
              <w:top w:val="single" w:color="auto" w:sz="4" w:space="0"/>
              <w:left w:val="nil"/>
              <w:bottom w:val="single" w:color="auto" w:sz="4" w:space="0"/>
              <w:right w:val="single" w:color="auto" w:sz="4" w:space="0"/>
            </w:tcBorders>
            <w:vAlign w:val="center"/>
          </w:tcPr>
          <w:p>
            <w:pPr>
              <w:spacing w:line="360" w:lineRule="auto"/>
              <w:ind w:left="40" w:leftChars="20" w:right="40" w:rightChars="20"/>
              <w:rPr>
                <w:rFonts w:asciiTheme="minorEastAsia" w:hAnsiTheme="minorEastAsia" w:eastAsiaTheme="minorEastAsia"/>
                <w:b/>
                <w:bCs/>
                <w:szCs w:val="21"/>
              </w:rPr>
            </w:pPr>
            <w:r>
              <w:rPr>
                <w:rFonts w:hint="eastAsia" w:asciiTheme="minorEastAsia" w:hAnsiTheme="minorEastAsia" w:eastAsiaTheme="minorEastAsia"/>
                <w:b/>
                <w:bCs/>
                <w:color w:val="000000"/>
                <w:szCs w:val="21"/>
              </w:rPr>
              <w:t>大写人民币：（小写¥）</w:t>
            </w:r>
          </w:p>
        </w:tc>
      </w:tr>
      <w:tr>
        <w:tblPrEx>
          <w:tblCellMar>
            <w:top w:w="0" w:type="dxa"/>
            <w:left w:w="0" w:type="dxa"/>
            <w:bottom w:w="0" w:type="dxa"/>
            <w:right w:w="0" w:type="dxa"/>
          </w:tblCellMar>
        </w:tblPrEx>
        <w:trPr>
          <w:trHeight w:val="40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0" w:leftChars="20" w:right="40" w:rightChars="20"/>
              <w:jc w:val="center"/>
              <w:rPr>
                <w:rFonts w:asciiTheme="minorEastAsia" w:hAnsiTheme="minorEastAsia" w:eastAsiaTheme="minorEastAsia"/>
                <w:b/>
                <w:bCs/>
                <w:szCs w:val="21"/>
              </w:rPr>
            </w:pPr>
            <w:r>
              <w:rPr>
                <w:rFonts w:hint="eastAsia" w:asciiTheme="minorEastAsia" w:hAnsiTheme="minorEastAsia" w:eastAsiaTheme="minorEastAsia"/>
                <w:b/>
                <w:bCs/>
                <w:color w:val="000000"/>
                <w:szCs w:val="21"/>
              </w:rPr>
              <w:t>含税金额</w:t>
            </w:r>
            <w:r>
              <w:rPr>
                <w:rFonts w:hint="eastAsia" w:asciiTheme="minorEastAsia" w:hAnsiTheme="minorEastAsia" w:eastAsiaTheme="minorEastAsia"/>
                <w:b/>
                <w:bCs/>
                <w:szCs w:val="21"/>
              </w:rPr>
              <w:t>合计</w:t>
            </w:r>
          </w:p>
        </w:tc>
        <w:tc>
          <w:tcPr>
            <w:tcW w:w="7371" w:type="dxa"/>
            <w:gridSpan w:val="9"/>
            <w:tcBorders>
              <w:top w:val="single" w:color="auto" w:sz="4" w:space="0"/>
              <w:left w:val="nil"/>
              <w:bottom w:val="single" w:color="auto" w:sz="4" w:space="0"/>
              <w:right w:val="single" w:color="auto" w:sz="4" w:space="0"/>
            </w:tcBorders>
            <w:vAlign w:val="center"/>
          </w:tcPr>
          <w:p>
            <w:pPr>
              <w:spacing w:line="360" w:lineRule="auto"/>
              <w:ind w:left="40" w:leftChars="20" w:right="40" w:rightChars="20"/>
              <w:rPr>
                <w:rFonts w:asciiTheme="minorEastAsia" w:hAnsiTheme="minorEastAsia" w:eastAsiaTheme="minorEastAsia"/>
                <w:b/>
                <w:bCs/>
                <w:szCs w:val="21"/>
              </w:rPr>
            </w:pPr>
            <w:r>
              <w:rPr>
                <w:rFonts w:hint="eastAsia" w:asciiTheme="minorEastAsia" w:hAnsiTheme="minorEastAsia" w:eastAsiaTheme="minorEastAsia"/>
                <w:b/>
                <w:bCs/>
                <w:szCs w:val="21"/>
              </w:rPr>
              <w:t>大写人民币：（小写¥）</w:t>
            </w:r>
          </w:p>
        </w:tc>
      </w:tr>
    </w:tbl>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说明：本合同价格为含税价格，包含运输、装卸、保险和安装费等费用。在合同履行期间，若国家税率调整</w:t>
      </w:r>
      <w:r>
        <w:rPr>
          <w:rFonts w:hint="eastAsia" w:asciiTheme="minorEastAsia" w:hAnsiTheme="minorEastAsia" w:eastAsiaTheme="minorEastAsia"/>
          <w:color w:val="000000" w:themeColor="text1"/>
          <w:sz w:val="24"/>
          <w14:textFill>
            <w14:solidFill>
              <w14:schemeClr w14:val="tx1"/>
            </w14:solidFill>
          </w14:textFill>
        </w:rPr>
        <w:t>，则该价格根据乙方依约开票之日的税率标准作相应调整。</w:t>
      </w:r>
    </w:p>
    <w:p>
      <w:pPr>
        <w:spacing w:line="500" w:lineRule="exact"/>
        <w:rPr>
          <w:rFonts w:asciiTheme="minorEastAsia" w:hAnsiTheme="minorEastAsia" w:eastAsiaTheme="minorEastAsia"/>
          <w:color w:val="000000"/>
          <w:sz w:val="24"/>
        </w:rPr>
      </w:pPr>
      <w:r>
        <w:rPr>
          <w:rFonts w:hint="eastAsia" w:asciiTheme="minorEastAsia" w:hAnsiTheme="minorEastAsia" w:eastAsiaTheme="minorEastAsia"/>
          <w:b/>
          <w:color w:val="000000"/>
          <w:sz w:val="24"/>
        </w:rPr>
        <w:t>二、质量标准</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1、乙方提供的货物应符合甲方的技术标准和质量要求（具体详见附件（如有）），若甲方的技术标准和质量要求与国家强制性标准、行业标准不一致的，以标准高者为准。</w:t>
      </w:r>
    </w:p>
    <w:p>
      <w:pPr>
        <w:rPr>
          <w:rFonts w:asciiTheme="minorEastAsia" w:hAnsiTheme="minorEastAsia" w:eastAsiaTheme="minorEastAsia"/>
          <w:sz w:val="24"/>
        </w:rPr>
      </w:pPr>
      <w:r>
        <w:rPr>
          <w:rFonts w:asciiTheme="minorEastAsia" w:hAnsiTheme="minorEastAsia" w:eastAsiaTheme="minorEastAsia"/>
          <w:color w:val="000000"/>
          <w:sz w:val="24"/>
        </w:rPr>
        <w:t xml:space="preserve">    2</w:t>
      </w:r>
      <w:r>
        <w:rPr>
          <w:rFonts w:hint="eastAsia" w:asciiTheme="minorEastAsia" w:hAnsiTheme="minorEastAsia" w:eastAsiaTheme="minorEastAsia"/>
          <w:color w:val="000000"/>
          <w:sz w:val="24"/>
        </w:rPr>
        <w:t>、如无特别约定，货物质保期为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color w:val="000000"/>
          <w:sz w:val="24"/>
        </w:rPr>
        <w:t>年，自验收合格之日起算，质保期内出现质量问题，乙方须在甲方指定的期间内以甲方认可的方法进行更换或者退货，因此而产生的一切费用均由乙方承担。甲方如选择换货，更换后货物的质保期经甲方再次验收合格之日起重新起算。</w:t>
      </w:r>
    </w:p>
    <w:p>
      <w:pPr>
        <w:spacing w:line="500" w:lineRule="exac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三、包装与运输</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1、包装方式：按厂家标准，包装物应满足运输、存储要求，并确保货物完好无损；包装费由乙方承担，包装物不回收。</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2、运输方式：由乙方负责送货上门。</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3、乙方应在货物装箱后当日按照甲方要求提供发货通知，通知内容包括但不限于联系方式、货物名称、数量、净重、毛重、发票金额、发货日期以及预计到达日等。</w:t>
      </w:r>
    </w:p>
    <w:p>
      <w:pPr>
        <w:spacing w:line="500" w:lineRule="exact"/>
        <w:rPr>
          <w:rFonts w:asciiTheme="minorEastAsia" w:hAnsiTheme="minorEastAsia" w:eastAsiaTheme="minorEastAsia"/>
          <w:color w:val="000000"/>
          <w:sz w:val="24"/>
        </w:rPr>
      </w:pPr>
      <w:r>
        <w:rPr>
          <w:rFonts w:hint="eastAsia" w:asciiTheme="minorEastAsia" w:hAnsiTheme="minorEastAsia" w:eastAsiaTheme="minorEastAsia"/>
          <w:b/>
          <w:color w:val="000000"/>
          <w:sz w:val="24"/>
        </w:rPr>
        <w:t>四、交货时间、地点与风险承担</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1、交货时间：</w:t>
      </w:r>
      <w:r>
        <w:rPr>
          <w:rFonts w:hint="eastAsia" w:asciiTheme="minorEastAsia" w:hAnsiTheme="minorEastAsia" w:eastAsiaTheme="minorEastAsia"/>
          <w:color w:val="000000" w:themeColor="text1"/>
          <w:sz w:val="24"/>
          <w14:textFill>
            <w14:solidFill>
              <w14:schemeClr w14:val="tx1"/>
            </w14:solidFill>
          </w14:textFill>
        </w:rPr>
        <w:t>乙方于合同生效后按照双方约定的交货期交货至甲方指定地点。</w:t>
      </w:r>
      <w:r>
        <w:rPr>
          <w:rFonts w:hint="eastAsia" w:asciiTheme="minorEastAsia" w:hAnsiTheme="minorEastAsia" w:eastAsiaTheme="minorEastAsia"/>
          <w:color w:val="000000"/>
          <w:sz w:val="24"/>
        </w:rPr>
        <w:t>如果甲方要求变更交货数量、时间和地点，提前</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日通知乙方后可无责变更。</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2、交货地点：甲方厂内或其他甲方指定的地点</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3、乙方交货时，应按甲方要求随货提供货物相关的质检资料（如出货检验报告、材质证明等）等，并保证提交的资料完整、清晰和准确。</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4、自验收合格之日起，货物的部分或全部毁损、灭失的风险转移至甲方。</w:t>
      </w:r>
    </w:p>
    <w:p>
      <w:pPr>
        <w:spacing w:line="500" w:lineRule="exact"/>
        <w:rPr>
          <w:rFonts w:asciiTheme="minorEastAsia" w:hAnsiTheme="minorEastAsia" w:eastAsiaTheme="minorEastAsia"/>
          <w:color w:val="000000"/>
          <w:sz w:val="24"/>
        </w:rPr>
      </w:pPr>
      <w:r>
        <w:rPr>
          <w:rFonts w:hint="eastAsia" w:asciiTheme="minorEastAsia" w:hAnsiTheme="minorEastAsia" w:eastAsiaTheme="minorEastAsia"/>
          <w:b/>
          <w:color w:val="000000"/>
          <w:sz w:val="24"/>
        </w:rPr>
        <w:t>五、结算与付款</w:t>
      </w:r>
    </w:p>
    <w:p>
      <w:pPr>
        <w:spacing w:line="5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bookmarkStart w:id="2" w:name="_Hlk58515797"/>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bookmarkEnd w:id="2"/>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（付款期限）</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（付款方式）</w:t>
      </w:r>
      <w:r>
        <w:rPr>
          <w:rFonts w:hint="eastAsia" w:asciiTheme="minorEastAsia" w:hAnsiTheme="minorEastAsia" w:eastAsiaTheme="minorEastAsia"/>
          <w:color w:val="000000" w:themeColor="text1"/>
          <w:sz w:val="24"/>
          <w14:textFill>
            <w14:solidFill>
              <w14:schemeClr w14:val="tx1"/>
            </w14:solidFill>
          </w14:textFill>
        </w:rPr>
        <w:t>即乙方依约完成货物交付后，双方凭送货单（含合同编号、物料专用号、供应商代码或名称、交付日期、交货数量等）、检测报告、入库单（验收合格单）进行结算，结算后由乙方向甲方开具对应增值税专用发票，甲方应在收到发票后</w:t>
      </w:r>
      <w:r>
        <w:rPr>
          <w:rFonts w:hint="eastAsia" w:asciiTheme="minorEastAsia" w:hAnsiTheme="minorEastAsia" w:eastAsiaTheme="minorEastAsia"/>
          <w:color w:val="000000"/>
          <w:sz w:val="24"/>
        </w:rPr>
        <w:t>根据约定的账期</w:t>
      </w:r>
      <w:r>
        <w:rPr>
          <w:rFonts w:hint="eastAsia" w:asciiTheme="minorEastAsia" w:hAnsiTheme="minorEastAsia" w:eastAsiaTheme="minorEastAsia"/>
          <w:color w:val="000000" w:themeColor="text1"/>
          <w:sz w:val="24"/>
          <w14:textFill>
            <w14:solidFill>
              <w14:schemeClr w14:val="tx1"/>
            </w14:solidFill>
          </w14:textFill>
        </w:rPr>
        <w:t>向乙方支付货款。如甲方未收到符合要求的发票，则甲方有权延迟付款。</w:t>
      </w:r>
    </w:p>
    <w:p>
      <w:pPr>
        <w:spacing w:line="5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2、若出现乙方货物有质量问题的，在双方未达成最终处理结果前，甲方有权拒绝支付剩余到期货款。</w:t>
      </w:r>
    </w:p>
    <w:p>
      <w:pPr>
        <w:spacing w:line="5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3、如乙方对甲方负有任何金钱债务（包括但不限因乙方货物给甲方及甲方客户造成损失的），甲方有权先行从应付乙方的货款中直接抵销。</w:t>
      </w:r>
    </w:p>
    <w:p>
      <w:pPr>
        <w:spacing w:line="500" w:lineRule="exact"/>
        <w:rPr>
          <w:rFonts w:asciiTheme="minorEastAsia" w:hAnsiTheme="minorEastAsia" w:eastAsiaTheme="minorEastAsia"/>
          <w:b/>
          <w:color w:val="000000"/>
          <w:sz w:val="24"/>
        </w:rPr>
      </w:pPr>
      <w:r>
        <w:rPr>
          <w:rFonts w:asciiTheme="minorEastAsia" w:hAnsiTheme="minorEastAsia" w:eastAsiaTheme="minorEastAsia"/>
          <w:b/>
          <w:color w:val="000000"/>
          <w:sz w:val="24"/>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56.25pt;margin-top:18.75pt;height:0pt;width:0pt;z-index:251659264;mso-width-relative:page;mso-height-relative:page;" filled="f" stroked="t" coordsize="21600,21600" o:gfxdata="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oL3cxw0uoA6ryPVxloYqWby3bllXhtl+y/f9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1oWHUAAAACQEAAA8AAAAAAAAAAQAgAAAAIgAAAGRycy9kb3ducmV2LnhtbFBL&#10;AQIUABQAAAAIAIdO4kBS05OcwQEAAJkDAAAOAAAAAAAAAAEAIAAAACMBAABkcnMvZTJvRG9jLnht&#10;bFBLBQYAAAAABgAGAFkBAABWBQAAAAA=&#10;">
                <v:fill on="f" focussize="0,0"/>
                <v:stroke color="#000000" joinstyle="round"/>
                <v:imagedata o:title=""/>
                <o:lock v:ext="edit" aspectratio="f"/>
              </v:line>
            </w:pict>
          </mc:Fallback>
        </mc:AlternateContent>
      </w:r>
      <w:r>
        <w:rPr>
          <w:rFonts w:hint="eastAsia" w:asciiTheme="minorEastAsia" w:hAnsiTheme="minorEastAsia" w:eastAsiaTheme="minorEastAsia"/>
          <w:b/>
          <w:color w:val="000000"/>
          <w:sz w:val="24"/>
        </w:rPr>
        <w:t>六、验收</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1、乙方货物到达甲方指定地点后，甲方对乙方货物包装、外观、资料、数量等进行外观检查。</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（1）若发现货物包装破损、外观瑕疵、资料不足、数量不足或其他不符合甲方要求的问题，甲方应</w:t>
      </w:r>
      <w:r>
        <w:rPr>
          <w:rFonts w:hint="eastAsia" w:asciiTheme="minorEastAsia" w:hAnsiTheme="minorEastAsia" w:eastAsiaTheme="minorEastAsia"/>
          <w:color w:val="000000" w:themeColor="text1"/>
          <w:sz w:val="24"/>
          <w14:textFill>
            <w14:solidFill>
              <w14:schemeClr w14:val="tx1"/>
            </w14:solidFill>
          </w14:textFill>
        </w:rPr>
        <w:t>立即通知乙方，乙方应当在收到甲方通知后</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日内按甲方要求予以更换或补全，乙方逾期更换或补全的，甲方有权单方解除合同并要求乙方赔偿甲方损</w:t>
      </w:r>
      <w:r>
        <w:rPr>
          <w:rFonts w:hint="eastAsia" w:asciiTheme="minorEastAsia" w:hAnsiTheme="minorEastAsia" w:eastAsiaTheme="minorEastAsia"/>
          <w:sz w:val="24"/>
        </w:rPr>
        <w:t>失。</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（2）若乙方交付的货物数量超过合同数量，对于超出的部分，甲方可选择退回或按合同价格接收。甲方选择退回的，乙方应承担由此而产生的一切费用。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2、甲方应在乙方货物到厂后进行验收，验收不合格的按照本合同第七条约定处理。</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3、双方对货物质量有异议的，可提交至双方认可的有资质的第三方检测机构进行检测，该检测机构的检测结果对双方均具有约束力，检测费由检测结果不利方承担。</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4、甲方在外观检测及验收时未发现的问题，不影响甲方日后就乙方货物质量等瑕疵或缺陷向乙方主张损害赔偿等的权利。</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七、不合格品的处置</w:t>
      </w:r>
    </w:p>
    <w:p>
      <w:pPr>
        <w:spacing w:line="50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1、</w:t>
      </w:r>
      <w:r>
        <w:rPr>
          <w:rFonts w:asciiTheme="minorEastAsia" w:hAnsiTheme="minorEastAsia" w:eastAsiaTheme="minorEastAsia"/>
          <w:sz w:val="24"/>
        </w:rPr>
        <w:t>甲方在验收过程中发现乙方货物存在质量问题，有权采取以下任一</w:t>
      </w:r>
      <w:r>
        <w:rPr>
          <w:rFonts w:hint="eastAsia" w:asciiTheme="minorEastAsia" w:hAnsiTheme="minorEastAsia" w:eastAsiaTheme="minorEastAsia"/>
          <w:sz w:val="24"/>
        </w:rPr>
        <w:t>方式：</w:t>
      </w:r>
    </w:p>
    <w:p>
      <w:pPr>
        <w:snapToGrid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（1）拒收。乙方应在收到甲方拒收通知后2日内取回不合格货物，超过 2 日未取回的，按日计算场地占用费400元/日，超过7日仍未取回的，视为乙方放弃该批货物所有权，甲方有权任意处置。</w:t>
      </w:r>
    </w:p>
    <w:p>
      <w:pPr>
        <w:snapToGrid w:val="0"/>
        <w:spacing w:line="500" w:lineRule="exact"/>
        <w:ind w:left="200" w:leftChars="100" w:firstLine="240" w:firstLineChars="100"/>
        <w:rPr>
          <w:rFonts w:asciiTheme="minorEastAsia" w:hAnsiTheme="minorEastAsia" w:eastAsiaTheme="minorEastAsia"/>
          <w:sz w:val="24"/>
        </w:rPr>
      </w:pPr>
      <w:r>
        <w:rPr>
          <w:rFonts w:asciiTheme="minorEastAsia" w:hAnsiTheme="minorEastAsia" w:eastAsiaTheme="minorEastAsia"/>
          <w:sz w:val="24"/>
        </w:rPr>
        <w:t>（2）调换。乙方应在收到甲方调换通知后的2日内给予如数调换，乙方未在甲方指定时间内更换的，该批有质量问题的货物视为未交付，且乙方需承担合同总额30%的违约金。</w:t>
      </w:r>
    </w:p>
    <w:p>
      <w:pPr>
        <w:snapToGrid w:val="0"/>
        <w:spacing w:line="500" w:lineRule="exact"/>
        <w:ind w:left="200" w:leftChars="100" w:firstLine="240" w:firstLineChars="100"/>
        <w:rPr>
          <w:rFonts w:asciiTheme="minorEastAsia" w:hAnsiTheme="minorEastAsia" w:eastAsiaTheme="minorEastAsia"/>
          <w:sz w:val="24"/>
        </w:rPr>
      </w:pPr>
      <w:r>
        <w:rPr>
          <w:rFonts w:asciiTheme="minorEastAsia" w:hAnsiTheme="minorEastAsia" w:eastAsiaTheme="minorEastAsia"/>
          <w:sz w:val="24"/>
        </w:rPr>
        <w:t>（3）特别采用。甲方决定特别采用的，特采货物甲方有权进行折价处理，具体折扣比例由双方协商确定。</w:t>
      </w:r>
    </w:p>
    <w:p>
      <w:pPr>
        <w:snapToGrid w:val="0"/>
        <w:spacing w:line="500" w:lineRule="exact"/>
        <w:ind w:left="200" w:leftChars="100" w:firstLine="480" w:firstLineChars="200"/>
        <w:rPr>
          <w:rFonts w:asciiTheme="minorEastAsia" w:hAnsiTheme="minorEastAsia" w:eastAsiaTheme="minorEastAsia"/>
          <w:sz w:val="24"/>
        </w:rPr>
      </w:pPr>
      <w:r>
        <w:rPr>
          <w:rFonts w:asciiTheme="minorEastAsia" w:hAnsiTheme="minorEastAsia" w:eastAsiaTheme="minorEastAsia"/>
          <w:sz w:val="24"/>
        </w:rPr>
        <w:t>2、甲方在乙方货物上线后发现质量问题的，根据不同情况分别采取以下方式处理：</w:t>
      </w:r>
    </w:p>
    <w:p>
      <w:pPr>
        <w:snapToGrid w:val="0"/>
        <w:spacing w:line="500" w:lineRule="exact"/>
        <w:ind w:left="200" w:leftChars="100" w:firstLine="240" w:firstLineChars="100"/>
        <w:rPr>
          <w:rFonts w:asciiTheme="minorEastAsia" w:hAnsiTheme="minorEastAsia" w:eastAsiaTheme="minorEastAsia"/>
          <w:sz w:val="24"/>
        </w:rPr>
      </w:pPr>
      <w:r>
        <w:rPr>
          <w:rFonts w:asciiTheme="minorEastAsia" w:hAnsiTheme="minorEastAsia" w:eastAsiaTheme="minorEastAsia"/>
          <w:sz w:val="24"/>
        </w:rPr>
        <w:t>（1）由于乙方货物质量问题造成甲方半成品、成品不良的，因此发生的筛选、返工、报废所产生的损失及相关费用全部由乙方承担。</w:t>
      </w:r>
    </w:p>
    <w:p>
      <w:pPr>
        <w:snapToGrid w:val="0"/>
        <w:spacing w:line="500" w:lineRule="exact"/>
        <w:ind w:left="200" w:leftChars="100" w:firstLine="240" w:firstLineChars="100"/>
        <w:rPr>
          <w:rFonts w:asciiTheme="minorEastAsia" w:hAnsiTheme="minorEastAsia" w:eastAsiaTheme="minorEastAsia"/>
          <w:sz w:val="24"/>
        </w:rPr>
      </w:pPr>
      <w:r>
        <w:rPr>
          <w:rFonts w:asciiTheme="minorEastAsia" w:hAnsiTheme="minorEastAsia" w:eastAsiaTheme="minorEastAsia"/>
          <w:sz w:val="24"/>
        </w:rPr>
        <w:t>（2）由于乙方货物质量问题导致甲方客户货物不良的，甲方及甲方客户之损失，包括但不限于筛选、维修、报废、运输、出差、客户索赔等全部由乙方承担。</w:t>
      </w:r>
    </w:p>
    <w:p>
      <w:pPr>
        <w:snapToGrid w:val="0"/>
        <w:spacing w:line="500" w:lineRule="exact"/>
        <w:ind w:left="200" w:leftChars="100" w:firstLine="240" w:firstLineChars="100"/>
        <w:rPr>
          <w:rFonts w:asciiTheme="minorEastAsia" w:hAnsiTheme="minorEastAsia" w:eastAsiaTheme="minorEastAsia"/>
          <w:sz w:val="24"/>
        </w:rPr>
      </w:pPr>
      <w:r>
        <w:rPr>
          <w:rFonts w:asciiTheme="minorEastAsia" w:hAnsiTheme="minorEastAsia" w:eastAsiaTheme="minorEastAsia"/>
          <w:sz w:val="24"/>
        </w:rPr>
        <w:t>（3）如果甲方之客户将货物销售给最终用户后，发现乙方货物存在质量问题造成市场返工、退货的，甲方因此而被客户要求赔偿时，该全部赔偿均由乙方承担。</w:t>
      </w:r>
    </w:p>
    <w:p>
      <w:pPr>
        <w:snapToGrid w:val="0"/>
        <w:spacing w:line="500" w:lineRule="exact"/>
        <w:ind w:left="200" w:leftChars="100" w:firstLine="480" w:firstLineChars="200"/>
        <w:rPr>
          <w:rFonts w:asciiTheme="minorEastAsia" w:hAnsiTheme="minorEastAsia" w:eastAsiaTheme="minorEastAsia"/>
          <w:sz w:val="24"/>
        </w:rPr>
      </w:pPr>
      <w:r>
        <w:rPr>
          <w:rFonts w:asciiTheme="minorEastAsia" w:hAnsiTheme="minorEastAsia" w:eastAsiaTheme="minorEastAsia"/>
          <w:sz w:val="24"/>
        </w:rPr>
        <w:t>3、甲方除可采取上述方式外，如由于乙方货物质量问题造成甲方在生产过程中受影响</w:t>
      </w:r>
      <w:r>
        <w:rPr>
          <w:rFonts w:hint="eastAsia" w:asciiTheme="minorEastAsia" w:hAnsiTheme="minorEastAsia" w:eastAsiaTheme="minorEastAsia"/>
          <w:sz w:val="24"/>
        </w:rPr>
        <w:t>，</w:t>
      </w:r>
      <w:r>
        <w:rPr>
          <w:rFonts w:asciiTheme="minorEastAsia" w:hAnsiTheme="minorEastAsia" w:eastAsiaTheme="minorEastAsia"/>
          <w:sz w:val="24"/>
        </w:rPr>
        <w:t>引起甲方停产的，则按每条生产线RMB2000元/小时计算费用，如该费用不足以弥补甲方损失的，乙方应继续补足。</w:t>
      </w:r>
    </w:p>
    <w:p>
      <w:pPr>
        <w:snapToGrid w:val="0"/>
        <w:spacing w:line="500" w:lineRule="exact"/>
        <w:ind w:left="200" w:leftChars="100" w:firstLine="480" w:firstLineChars="200"/>
        <w:rPr>
          <w:rFonts w:asciiTheme="minorEastAsia" w:hAnsiTheme="minorEastAsia" w:eastAsiaTheme="minorEastAsia"/>
          <w:sz w:val="24"/>
        </w:rPr>
      </w:pPr>
      <w:r>
        <w:rPr>
          <w:rFonts w:asciiTheme="minorEastAsia" w:hAnsiTheme="minorEastAsia" w:eastAsiaTheme="minorEastAsia"/>
          <w:sz w:val="24"/>
        </w:rPr>
        <w:t>4、如甲方发现乙方把退回不合格品（或其它同类不合格品）混入合格品中再次送货或整批不合格品再次送货时，甲方有权要求乙方按该批货物价值的30%支付违约金，并有权解除合同。</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八、知识产权</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乙方保证货物，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货物以及包含本合同货物的其他货物时不会侵犯任何第三方的知识产权。</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如因乙方货物而发生对第三方侵权的事实或因第三方对甲方所供货物或服务所包含的知识产权主张权利而引起纠纷、诉讼或仲裁，乙方应在接到甲方通知后第一时间采取相应的补救措施（包括但不限于乙方应按甲方要求的方式采取更换其他类似货物或购买该知识产权以满足甲方需求）。同时乙方应赔偿甲方及其客户因此遭受的包括但不限于赔偿金、违约金、诉讼费、律师费在内的所有费用和损失。</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九、保密条款</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1、任何一方因履行本合同而知悉的对方的保密信息应严格保密，未经披露方同意，不得披露或泄露给任何第三方。</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2、本合同无论何等原因被确认为全部或部分无效、失效、未生效、撤销、终止、解除、无法得到法律保护或未能实际履行，关于本条保密的规定应具有独立性，继续保持其原有效力。</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十、违约责任</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sz w:val="24"/>
        </w:rPr>
        <w:t>乙方逾期交货的，每逾期一日，应按逾期交货标的</w:t>
      </w:r>
      <w:r>
        <w:rPr>
          <w:rFonts w:hint="eastAsia" w:asciiTheme="minorEastAsia" w:hAnsiTheme="minorEastAsia" w:eastAsiaTheme="minorEastAsia"/>
          <w:color w:val="000000" w:themeColor="text1"/>
          <w:sz w:val="24"/>
          <w14:textFill>
            <w14:solidFill>
              <w14:schemeClr w14:val="tx1"/>
            </w14:solidFill>
          </w14:textFill>
        </w:rPr>
        <w:t>额的千分之五向甲方支</w:t>
      </w:r>
      <w:r>
        <w:rPr>
          <w:rFonts w:hint="eastAsia" w:asciiTheme="minorEastAsia" w:hAnsiTheme="minorEastAsia" w:eastAsiaTheme="minorEastAsia"/>
          <w:sz w:val="24"/>
        </w:rPr>
        <w:t>付违约金并且承担因逾期交货造成的实际损失。逾期交货超过</w:t>
      </w:r>
      <w:r>
        <w:rPr>
          <w:rFonts w:asciiTheme="minorEastAsia" w:hAnsiTheme="minorEastAsia" w:eastAsiaTheme="minorEastAsia"/>
          <w:color w:val="000000"/>
          <w:sz w:val="24"/>
        </w:rPr>
        <w:t>30</w:t>
      </w:r>
      <w:r>
        <w:rPr>
          <w:rFonts w:hint="eastAsia" w:asciiTheme="minorEastAsia" w:hAnsiTheme="minorEastAsia" w:eastAsiaTheme="minorEastAsia"/>
          <w:sz w:val="24"/>
        </w:rPr>
        <w:t>日的，甲方有权单方解除本合同并要求乙方支付合同总额</w:t>
      </w:r>
      <w:r>
        <w:rPr>
          <w:rFonts w:asciiTheme="minorEastAsia" w:hAnsiTheme="minorEastAsia" w:eastAsiaTheme="minorEastAsia"/>
          <w:color w:val="000000"/>
          <w:sz w:val="24"/>
        </w:rPr>
        <w:t>30</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的违约金及赔偿实际损失。</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sz w:val="24"/>
        </w:rPr>
        <w:t>如乙方违反合同约定，泄露甲方保密信息的，则需按本协议项下累计交易总金额的</w:t>
      </w:r>
      <w:r>
        <w:rPr>
          <w:rFonts w:asciiTheme="minorEastAsia" w:hAnsiTheme="minorEastAsia" w:eastAsiaTheme="minorEastAsia"/>
          <w:sz w:val="24"/>
        </w:rPr>
        <w:t>30</w:t>
      </w:r>
      <w:r>
        <w:rPr>
          <w:rFonts w:hint="eastAsia" w:asciiTheme="minorEastAsia" w:hAnsiTheme="minorEastAsia" w:eastAsiaTheme="minorEastAsia"/>
          <w:sz w:val="24"/>
        </w:rPr>
        <w:t>％（不低于【</w:t>
      </w:r>
      <w:r>
        <w:rPr>
          <w:rFonts w:asciiTheme="minorEastAsia" w:hAnsiTheme="minorEastAsia" w:eastAsiaTheme="minorEastAsia"/>
          <w:sz w:val="24"/>
        </w:rPr>
        <w:t>20</w:t>
      </w:r>
      <w:r>
        <w:rPr>
          <w:rFonts w:hint="eastAsia" w:asciiTheme="minorEastAsia" w:hAnsiTheme="minorEastAsia" w:eastAsiaTheme="minor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十一、不可抗力</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以书面形式将不可抗力事件的发生通知他方，并在该不可抗力事件发生后7日内向他方提供关于此种不可抗力事件及其持续时间的适当证据。另一方收到不可抗力事件发生的通知后有权决定是否继续履行合同。</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十二、通讯</w:t>
      </w:r>
    </w:p>
    <w:p>
      <w:pPr>
        <w:spacing w:line="50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各方确认本合同签署页所述地址和通讯信息适用于双方全部交易履行期间，以及一旦发生争议进入诉讼、仲裁、政府调查等司法行政的各阶段程序。若一方变更其联系人、地址、电话号码或电子邮箱，应及时通知对方,否则自行承担不利后果。</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十三、争议解决</w:t>
      </w:r>
    </w:p>
    <w:p>
      <w:pPr>
        <w:spacing w:line="5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1、与本合同有关的一切争议，双方应友好协商，协商不成的，任何一方均有权向合同签订地有管辖权的人民法院提起诉讼。</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pPr>
        <w:spacing w:line="500" w:lineRule="exact"/>
        <w:rPr>
          <w:rFonts w:asciiTheme="minorEastAsia" w:hAnsiTheme="minorEastAsia" w:eastAsiaTheme="minorEastAsia"/>
          <w:b/>
          <w:sz w:val="24"/>
        </w:rPr>
      </w:pPr>
      <w:r>
        <w:rPr>
          <w:rFonts w:hint="eastAsia" w:asciiTheme="minorEastAsia" w:hAnsiTheme="minorEastAsia" w:eastAsiaTheme="minorEastAsia"/>
          <w:b/>
          <w:sz w:val="24"/>
        </w:rPr>
        <w:t>十四、其他</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1、本合同所有附件均为本合同不可分割部分，与本合同具有同等的法律效力。</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、本合同一经双方签订即告生效，本合同壹式贰份，双方各执壹份。</w:t>
      </w:r>
    </w:p>
    <w:p>
      <w:pPr>
        <w:spacing w:line="5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3、其他约定事项：本合同自双方盖章之日起生效，双方盖章的合同传真件、扫描件（与合同原件）具有同等法律效力。</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000000"/>
          <w:sz w:val="24"/>
        </w:rPr>
        <w:t>4、甲乙双方不可篡改经双方确认的合同版本条款及内容，若甲乙双方任何一方盖章时篡改经双方确认的合同内容并盖章，发生纠纷时，以原始双方未盖章的本系统内合同版本内容为准（备注：原始双方未盖章的系统合同版本包含电子合同附件及采购商合同附件）。</w:t>
      </w:r>
    </w:p>
    <w:p>
      <w:pPr>
        <w:spacing w:line="500" w:lineRule="exact"/>
        <w:ind w:firstLine="480" w:firstLineChars="200"/>
        <w:rPr>
          <w:rFonts w:asciiTheme="minorEastAsia" w:hAnsiTheme="minorEastAsia" w:eastAsiaTheme="minorEastAsia"/>
          <w:sz w:val="24"/>
        </w:rPr>
      </w:pPr>
    </w:p>
    <w:tbl>
      <w:tblPr>
        <w:tblStyle w:val="10"/>
        <w:tblW w:w="9629" w:type="dxa"/>
        <w:jc w:val="center"/>
        <w:tblLayout w:type="autofit"/>
        <w:tblCellMar>
          <w:top w:w="0" w:type="dxa"/>
          <w:left w:w="108" w:type="dxa"/>
          <w:bottom w:w="0" w:type="dxa"/>
          <w:right w:w="108" w:type="dxa"/>
        </w:tblCellMar>
      </w:tblPr>
      <w:tblGrid>
        <w:gridCol w:w="4548"/>
        <w:gridCol w:w="5081"/>
      </w:tblGrid>
      <w:tr>
        <w:tblPrEx>
          <w:tblCellMar>
            <w:top w:w="0" w:type="dxa"/>
            <w:left w:w="108" w:type="dxa"/>
            <w:bottom w:w="0" w:type="dxa"/>
            <w:right w:w="108" w:type="dxa"/>
          </w:tblCellMar>
        </w:tblPrEx>
        <w:trPr>
          <w:trHeight w:val="519"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甲方：福建省金龙稀土股份有限公司</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乙方：</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地址：福建省长汀经济开发区工业新区</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地址：</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代表人：</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代表人：</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传真：0597-3160685</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传真：</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kern w:val="2"/>
                <w:sz w:val="24"/>
              </w:rPr>
              <w:t>开户行：中国建设银行长汀支行</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开户行：</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kern w:val="2"/>
                <w:sz w:val="24"/>
              </w:rPr>
              <w:t>账号：35001697107052503131</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账号：</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税务登记号：</w:t>
            </w:r>
            <w:r>
              <w:rPr>
                <w:rFonts w:hint="eastAsia" w:asciiTheme="minorEastAsia" w:hAnsiTheme="minorEastAsia" w:eastAsiaTheme="minorEastAsia"/>
                <w:kern w:val="2"/>
                <w:sz w:val="24"/>
              </w:rPr>
              <w:t>9135082115791410XF</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税务登记号：</w:t>
            </w:r>
            <w:r>
              <w:rPr>
                <w:rFonts w:hint="eastAsia" w:asciiTheme="minorEastAsia" w:hAnsiTheme="minorEastAsia" w:eastAsiaTheme="minorEastAsia"/>
                <w:kern w:val="2"/>
                <w:sz w:val="24"/>
              </w:rPr>
              <w:t xml:space="preserve">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 xml:space="preserve">签署时间：       </w:t>
            </w:r>
          </w:p>
        </w:tc>
        <w:tc>
          <w:tcPr>
            <w:tcW w:w="5081" w:type="dxa"/>
          </w:tcPr>
          <w:p>
            <w:pPr>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rPr>
              <w:t xml:space="preserve">签署时间：        </w:t>
            </w:r>
          </w:p>
        </w:tc>
      </w:tr>
      <w:tr>
        <w:tblPrEx>
          <w:tblCellMar>
            <w:top w:w="0" w:type="dxa"/>
            <w:left w:w="108" w:type="dxa"/>
            <w:bottom w:w="0" w:type="dxa"/>
            <w:right w:w="108" w:type="dxa"/>
          </w:tblCellMar>
        </w:tblPrEx>
        <w:trPr>
          <w:trHeight w:val="514" w:hRule="atLeast"/>
          <w:jc w:val="center"/>
        </w:trPr>
        <w:tc>
          <w:tcPr>
            <w:tcW w:w="4548" w:type="dxa"/>
          </w:tcPr>
          <w:p>
            <w:pPr>
              <w:rPr>
                <w:rFonts w:asciiTheme="minorEastAsia" w:hAnsiTheme="minorEastAsia" w:eastAsiaTheme="minorEastAsia"/>
                <w:color w:val="000000"/>
                <w:kern w:val="2"/>
                <w:sz w:val="24"/>
              </w:rPr>
            </w:pPr>
          </w:p>
        </w:tc>
        <w:tc>
          <w:tcPr>
            <w:tcW w:w="5081" w:type="dxa"/>
          </w:tcPr>
          <w:p>
            <w:pPr>
              <w:rPr>
                <w:rFonts w:asciiTheme="minorEastAsia" w:hAnsiTheme="minorEastAsia" w:eastAsiaTheme="minorEastAsia"/>
                <w:color w:val="000000"/>
                <w:kern w:val="2"/>
                <w:sz w:val="24"/>
              </w:rPr>
            </w:pPr>
          </w:p>
        </w:tc>
      </w:tr>
    </w:tbl>
    <w:p/>
    <w:p/>
    <w:p>
      <w:pPr>
        <w:rPr>
          <w:rFonts w:ascii="宋体" w:hAnsi="宋体"/>
          <w:b/>
          <w:bCs/>
          <w:sz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83084"/>
      <w:docPartObj>
        <w:docPartGallery w:val="autotext"/>
      </w:docPartObj>
    </w:sdtPr>
    <w:sdtContent>
      <w:sdt>
        <w:sdtPr>
          <w:id w:val="1728636285"/>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279C4"/>
    <w:multiLevelType w:val="multilevel"/>
    <w:tmpl w:val="03F279C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ODNiZjdhODIxMTkyNjAyMjcwZWVhZmY2YmFmMDQifQ=="/>
  </w:docVars>
  <w:rsids>
    <w:rsidRoot w:val="00416DDF"/>
    <w:rsid w:val="000131CC"/>
    <w:rsid w:val="00014F63"/>
    <w:rsid w:val="0001567D"/>
    <w:rsid w:val="00031F61"/>
    <w:rsid w:val="00040A9B"/>
    <w:rsid w:val="0004297B"/>
    <w:rsid w:val="00042DEA"/>
    <w:rsid w:val="00045C9D"/>
    <w:rsid w:val="00055B29"/>
    <w:rsid w:val="00073065"/>
    <w:rsid w:val="0007419E"/>
    <w:rsid w:val="00087C1D"/>
    <w:rsid w:val="000912F7"/>
    <w:rsid w:val="000A0CE0"/>
    <w:rsid w:val="000A0F8A"/>
    <w:rsid w:val="000B0466"/>
    <w:rsid w:val="000B77A1"/>
    <w:rsid w:val="000C0380"/>
    <w:rsid w:val="000C25F4"/>
    <w:rsid w:val="000D008E"/>
    <w:rsid w:val="000D373D"/>
    <w:rsid w:val="000D42E2"/>
    <w:rsid w:val="000D4D15"/>
    <w:rsid w:val="000D5CD0"/>
    <w:rsid w:val="000E0393"/>
    <w:rsid w:val="000E1D7D"/>
    <w:rsid w:val="000E2150"/>
    <w:rsid w:val="000F06E8"/>
    <w:rsid w:val="000F5732"/>
    <w:rsid w:val="000F6576"/>
    <w:rsid w:val="00111C18"/>
    <w:rsid w:val="00117315"/>
    <w:rsid w:val="00123DE6"/>
    <w:rsid w:val="001335C8"/>
    <w:rsid w:val="00137D0B"/>
    <w:rsid w:val="00140045"/>
    <w:rsid w:val="00141A51"/>
    <w:rsid w:val="00144408"/>
    <w:rsid w:val="00145B08"/>
    <w:rsid w:val="00163BC7"/>
    <w:rsid w:val="00165851"/>
    <w:rsid w:val="00170FF9"/>
    <w:rsid w:val="00173A67"/>
    <w:rsid w:val="001844E3"/>
    <w:rsid w:val="00187467"/>
    <w:rsid w:val="001A25F5"/>
    <w:rsid w:val="001B148C"/>
    <w:rsid w:val="001B44EF"/>
    <w:rsid w:val="001B4631"/>
    <w:rsid w:val="001B7B97"/>
    <w:rsid w:val="001C2118"/>
    <w:rsid w:val="001C5836"/>
    <w:rsid w:val="001E23E7"/>
    <w:rsid w:val="001E7F20"/>
    <w:rsid w:val="001F2EDB"/>
    <w:rsid w:val="001F31F4"/>
    <w:rsid w:val="001F3A1F"/>
    <w:rsid w:val="001F4AAB"/>
    <w:rsid w:val="001F708F"/>
    <w:rsid w:val="00200404"/>
    <w:rsid w:val="00213199"/>
    <w:rsid w:val="00225D6C"/>
    <w:rsid w:val="00226DE1"/>
    <w:rsid w:val="00232B0F"/>
    <w:rsid w:val="00232FF3"/>
    <w:rsid w:val="00257745"/>
    <w:rsid w:val="002616A0"/>
    <w:rsid w:val="00263384"/>
    <w:rsid w:val="002649A6"/>
    <w:rsid w:val="00266502"/>
    <w:rsid w:val="00271D72"/>
    <w:rsid w:val="0027545C"/>
    <w:rsid w:val="00277453"/>
    <w:rsid w:val="002816D7"/>
    <w:rsid w:val="00282788"/>
    <w:rsid w:val="00284491"/>
    <w:rsid w:val="00295F8B"/>
    <w:rsid w:val="002972CC"/>
    <w:rsid w:val="002A1701"/>
    <w:rsid w:val="002A232C"/>
    <w:rsid w:val="002B3730"/>
    <w:rsid w:val="002B3CEC"/>
    <w:rsid w:val="002B41BE"/>
    <w:rsid w:val="002C3FE6"/>
    <w:rsid w:val="002E0552"/>
    <w:rsid w:val="002E67CF"/>
    <w:rsid w:val="002E73A7"/>
    <w:rsid w:val="002E7C4B"/>
    <w:rsid w:val="002F3C14"/>
    <w:rsid w:val="002F545A"/>
    <w:rsid w:val="00300574"/>
    <w:rsid w:val="00302213"/>
    <w:rsid w:val="00306F31"/>
    <w:rsid w:val="00310855"/>
    <w:rsid w:val="00311795"/>
    <w:rsid w:val="0031759C"/>
    <w:rsid w:val="0032048B"/>
    <w:rsid w:val="00320E6F"/>
    <w:rsid w:val="003237E3"/>
    <w:rsid w:val="00324E81"/>
    <w:rsid w:val="0032617F"/>
    <w:rsid w:val="003320BE"/>
    <w:rsid w:val="003338E8"/>
    <w:rsid w:val="003420A3"/>
    <w:rsid w:val="003451D5"/>
    <w:rsid w:val="00351454"/>
    <w:rsid w:val="00355B01"/>
    <w:rsid w:val="00357D99"/>
    <w:rsid w:val="00360251"/>
    <w:rsid w:val="00361EAA"/>
    <w:rsid w:val="00367A53"/>
    <w:rsid w:val="00374B36"/>
    <w:rsid w:val="00384173"/>
    <w:rsid w:val="00392544"/>
    <w:rsid w:val="003A5D41"/>
    <w:rsid w:val="003B02BE"/>
    <w:rsid w:val="003B02D0"/>
    <w:rsid w:val="003B17DD"/>
    <w:rsid w:val="003B1987"/>
    <w:rsid w:val="003B1DB6"/>
    <w:rsid w:val="003B5B2C"/>
    <w:rsid w:val="003C3B4B"/>
    <w:rsid w:val="003C5B75"/>
    <w:rsid w:val="003C7AAF"/>
    <w:rsid w:val="003D1144"/>
    <w:rsid w:val="003D55A7"/>
    <w:rsid w:val="003E2BDF"/>
    <w:rsid w:val="003E69A8"/>
    <w:rsid w:val="003F0C61"/>
    <w:rsid w:val="003F347E"/>
    <w:rsid w:val="004072E3"/>
    <w:rsid w:val="00407304"/>
    <w:rsid w:val="00410ADD"/>
    <w:rsid w:val="00416DDF"/>
    <w:rsid w:val="00422D21"/>
    <w:rsid w:val="00430834"/>
    <w:rsid w:val="00445403"/>
    <w:rsid w:val="004462CE"/>
    <w:rsid w:val="00453A36"/>
    <w:rsid w:val="00456492"/>
    <w:rsid w:val="00466D88"/>
    <w:rsid w:val="004877C2"/>
    <w:rsid w:val="004972F4"/>
    <w:rsid w:val="004A2BA1"/>
    <w:rsid w:val="004A5AD1"/>
    <w:rsid w:val="004B0000"/>
    <w:rsid w:val="004B038E"/>
    <w:rsid w:val="004B094C"/>
    <w:rsid w:val="004B1BC5"/>
    <w:rsid w:val="004D41EE"/>
    <w:rsid w:val="004E25C3"/>
    <w:rsid w:val="004E70DF"/>
    <w:rsid w:val="004E712A"/>
    <w:rsid w:val="004F106F"/>
    <w:rsid w:val="004F58B8"/>
    <w:rsid w:val="00514C42"/>
    <w:rsid w:val="00523108"/>
    <w:rsid w:val="00523466"/>
    <w:rsid w:val="005340FD"/>
    <w:rsid w:val="00535CD6"/>
    <w:rsid w:val="0053782C"/>
    <w:rsid w:val="00551F69"/>
    <w:rsid w:val="005533F9"/>
    <w:rsid w:val="00566A85"/>
    <w:rsid w:val="005678FA"/>
    <w:rsid w:val="00580E73"/>
    <w:rsid w:val="00586436"/>
    <w:rsid w:val="005A1DBE"/>
    <w:rsid w:val="005A221C"/>
    <w:rsid w:val="005B2337"/>
    <w:rsid w:val="005B276E"/>
    <w:rsid w:val="005D19C5"/>
    <w:rsid w:val="005D622E"/>
    <w:rsid w:val="005E3715"/>
    <w:rsid w:val="005F195B"/>
    <w:rsid w:val="005F4499"/>
    <w:rsid w:val="006062B2"/>
    <w:rsid w:val="00610B3F"/>
    <w:rsid w:val="00621629"/>
    <w:rsid w:val="006322AC"/>
    <w:rsid w:val="0063728F"/>
    <w:rsid w:val="0064077E"/>
    <w:rsid w:val="00640A2A"/>
    <w:rsid w:val="006435B6"/>
    <w:rsid w:val="00652DBE"/>
    <w:rsid w:val="00652E9A"/>
    <w:rsid w:val="006542CF"/>
    <w:rsid w:val="0065576A"/>
    <w:rsid w:val="00655B4C"/>
    <w:rsid w:val="00665697"/>
    <w:rsid w:val="006726A7"/>
    <w:rsid w:val="006825F8"/>
    <w:rsid w:val="00684281"/>
    <w:rsid w:val="006848B4"/>
    <w:rsid w:val="00695C9D"/>
    <w:rsid w:val="00697074"/>
    <w:rsid w:val="006A407D"/>
    <w:rsid w:val="006B0812"/>
    <w:rsid w:val="006B0D92"/>
    <w:rsid w:val="006C5009"/>
    <w:rsid w:val="006C63C4"/>
    <w:rsid w:val="006D46E7"/>
    <w:rsid w:val="006E28E0"/>
    <w:rsid w:val="006E2E3B"/>
    <w:rsid w:val="006E786B"/>
    <w:rsid w:val="006F0A12"/>
    <w:rsid w:val="006F29B4"/>
    <w:rsid w:val="0070647F"/>
    <w:rsid w:val="00710F39"/>
    <w:rsid w:val="00714096"/>
    <w:rsid w:val="00715273"/>
    <w:rsid w:val="00727C4B"/>
    <w:rsid w:val="00732434"/>
    <w:rsid w:val="0075019D"/>
    <w:rsid w:val="00754777"/>
    <w:rsid w:val="007553FA"/>
    <w:rsid w:val="00755B43"/>
    <w:rsid w:val="00762124"/>
    <w:rsid w:val="007639DB"/>
    <w:rsid w:val="00766DAD"/>
    <w:rsid w:val="00770010"/>
    <w:rsid w:val="007775EC"/>
    <w:rsid w:val="00784D92"/>
    <w:rsid w:val="00785290"/>
    <w:rsid w:val="007854A5"/>
    <w:rsid w:val="00794F09"/>
    <w:rsid w:val="007A5794"/>
    <w:rsid w:val="007B1168"/>
    <w:rsid w:val="007B7D9F"/>
    <w:rsid w:val="007C4E28"/>
    <w:rsid w:val="007C6A51"/>
    <w:rsid w:val="007C7893"/>
    <w:rsid w:val="007D34A7"/>
    <w:rsid w:val="007D374C"/>
    <w:rsid w:val="007D76C8"/>
    <w:rsid w:val="007E12E5"/>
    <w:rsid w:val="007E14FF"/>
    <w:rsid w:val="007E5715"/>
    <w:rsid w:val="007E7865"/>
    <w:rsid w:val="007F601A"/>
    <w:rsid w:val="007F6EF9"/>
    <w:rsid w:val="008067BE"/>
    <w:rsid w:val="008133CA"/>
    <w:rsid w:val="00822D44"/>
    <w:rsid w:val="008261F1"/>
    <w:rsid w:val="00830BD0"/>
    <w:rsid w:val="008413CE"/>
    <w:rsid w:val="00845DCC"/>
    <w:rsid w:val="008556FC"/>
    <w:rsid w:val="00857AFF"/>
    <w:rsid w:val="00857B96"/>
    <w:rsid w:val="00860866"/>
    <w:rsid w:val="00862A32"/>
    <w:rsid w:val="008633A8"/>
    <w:rsid w:val="00864031"/>
    <w:rsid w:val="00883641"/>
    <w:rsid w:val="00887E5E"/>
    <w:rsid w:val="008914EF"/>
    <w:rsid w:val="00892440"/>
    <w:rsid w:val="00892DE0"/>
    <w:rsid w:val="0089380E"/>
    <w:rsid w:val="00896CE3"/>
    <w:rsid w:val="008A4935"/>
    <w:rsid w:val="008B1F5E"/>
    <w:rsid w:val="008B26EA"/>
    <w:rsid w:val="008B2FC5"/>
    <w:rsid w:val="008B3B5D"/>
    <w:rsid w:val="008B795C"/>
    <w:rsid w:val="008C140B"/>
    <w:rsid w:val="008E1A4B"/>
    <w:rsid w:val="008E7D43"/>
    <w:rsid w:val="008F0E6E"/>
    <w:rsid w:val="008F3251"/>
    <w:rsid w:val="008F3C79"/>
    <w:rsid w:val="008F4823"/>
    <w:rsid w:val="00900B30"/>
    <w:rsid w:val="0090240F"/>
    <w:rsid w:val="00904EBC"/>
    <w:rsid w:val="00907A81"/>
    <w:rsid w:val="009133C9"/>
    <w:rsid w:val="00924D2E"/>
    <w:rsid w:val="009253AC"/>
    <w:rsid w:val="009262D7"/>
    <w:rsid w:val="00940FAE"/>
    <w:rsid w:val="0094450C"/>
    <w:rsid w:val="00952925"/>
    <w:rsid w:val="009604A0"/>
    <w:rsid w:val="00961C7A"/>
    <w:rsid w:val="00965632"/>
    <w:rsid w:val="00967AEB"/>
    <w:rsid w:val="009741A3"/>
    <w:rsid w:val="00983754"/>
    <w:rsid w:val="009911DE"/>
    <w:rsid w:val="00991620"/>
    <w:rsid w:val="00995FF1"/>
    <w:rsid w:val="009A3C27"/>
    <w:rsid w:val="009B41CB"/>
    <w:rsid w:val="009C01F2"/>
    <w:rsid w:val="009C37DE"/>
    <w:rsid w:val="009D0ED3"/>
    <w:rsid w:val="009D1A98"/>
    <w:rsid w:val="009D31D3"/>
    <w:rsid w:val="009D61CA"/>
    <w:rsid w:val="009D6493"/>
    <w:rsid w:val="009E19A5"/>
    <w:rsid w:val="00A02419"/>
    <w:rsid w:val="00A11079"/>
    <w:rsid w:val="00A110C7"/>
    <w:rsid w:val="00A246B6"/>
    <w:rsid w:val="00A2711E"/>
    <w:rsid w:val="00A43ECD"/>
    <w:rsid w:val="00A45933"/>
    <w:rsid w:val="00A46364"/>
    <w:rsid w:val="00A53E2C"/>
    <w:rsid w:val="00A550A1"/>
    <w:rsid w:val="00A623A4"/>
    <w:rsid w:val="00A625E8"/>
    <w:rsid w:val="00A66DB6"/>
    <w:rsid w:val="00A6730D"/>
    <w:rsid w:val="00A71B05"/>
    <w:rsid w:val="00A72C18"/>
    <w:rsid w:val="00A72F38"/>
    <w:rsid w:val="00A95B42"/>
    <w:rsid w:val="00A977DC"/>
    <w:rsid w:val="00A978F3"/>
    <w:rsid w:val="00AB1377"/>
    <w:rsid w:val="00AB424A"/>
    <w:rsid w:val="00AC7893"/>
    <w:rsid w:val="00AD1117"/>
    <w:rsid w:val="00AD7E80"/>
    <w:rsid w:val="00AE4918"/>
    <w:rsid w:val="00AF253C"/>
    <w:rsid w:val="00AF45BA"/>
    <w:rsid w:val="00B030CB"/>
    <w:rsid w:val="00B051B8"/>
    <w:rsid w:val="00B22B2C"/>
    <w:rsid w:val="00B27E72"/>
    <w:rsid w:val="00B4424C"/>
    <w:rsid w:val="00B4518D"/>
    <w:rsid w:val="00B463B2"/>
    <w:rsid w:val="00B50554"/>
    <w:rsid w:val="00B5351B"/>
    <w:rsid w:val="00B54D74"/>
    <w:rsid w:val="00B660ED"/>
    <w:rsid w:val="00B71B34"/>
    <w:rsid w:val="00B72200"/>
    <w:rsid w:val="00B75783"/>
    <w:rsid w:val="00B7795C"/>
    <w:rsid w:val="00B8056A"/>
    <w:rsid w:val="00B814BB"/>
    <w:rsid w:val="00B82C8D"/>
    <w:rsid w:val="00B84356"/>
    <w:rsid w:val="00B85C2D"/>
    <w:rsid w:val="00B87226"/>
    <w:rsid w:val="00B9674A"/>
    <w:rsid w:val="00B97FB0"/>
    <w:rsid w:val="00BA0DC7"/>
    <w:rsid w:val="00BA2BD2"/>
    <w:rsid w:val="00BC068A"/>
    <w:rsid w:val="00BC1822"/>
    <w:rsid w:val="00BC2889"/>
    <w:rsid w:val="00BC3696"/>
    <w:rsid w:val="00BC3A53"/>
    <w:rsid w:val="00BD0B5D"/>
    <w:rsid w:val="00BE10E7"/>
    <w:rsid w:val="00BF46C1"/>
    <w:rsid w:val="00C03FEF"/>
    <w:rsid w:val="00C1482E"/>
    <w:rsid w:val="00C151E9"/>
    <w:rsid w:val="00C24338"/>
    <w:rsid w:val="00C271E4"/>
    <w:rsid w:val="00C3330E"/>
    <w:rsid w:val="00C37EC5"/>
    <w:rsid w:val="00C56A1F"/>
    <w:rsid w:val="00C56AEF"/>
    <w:rsid w:val="00C64D98"/>
    <w:rsid w:val="00CA4D0E"/>
    <w:rsid w:val="00CA781D"/>
    <w:rsid w:val="00CB2102"/>
    <w:rsid w:val="00CB28E5"/>
    <w:rsid w:val="00CD0AD0"/>
    <w:rsid w:val="00CD708F"/>
    <w:rsid w:val="00CE7F8B"/>
    <w:rsid w:val="00CF0BA3"/>
    <w:rsid w:val="00CF14F2"/>
    <w:rsid w:val="00CF4E88"/>
    <w:rsid w:val="00D10A89"/>
    <w:rsid w:val="00D17C31"/>
    <w:rsid w:val="00D31617"/>
    <w:rsid w:val="00D34697"/>
    <w:rsid w:val="00D467B6"/>
    <w:rsid w:val="00D4794D"/>
    <w:rsid w:val="00D52FD4"/>
    <w:rsid w:val="00D549BD"/>
    <w:rsid w:val="00D6476D"/>
    <w:rsid w:val="00D80504"/>
    <w:rsid w:val="00D834D0"/>
    <w:rsid w:val="00D86567"/>
    <w:rsid w:val="00D91372"/>
    <w:rsid w:val="00DB1567"/>
    <w:rsid w:val="00DB6FE7"/>
    <w:rsid w:val="00DB7BEB"/>
    <w:rsid w:val="00DC3FCA"/>
    <w:rsid w:val="00DC54DF"/>
    <w:rsid w:val="00DD1466"/>
    <w:rsid w:val="00DF66D9"/>
    <w:rsid w:val="00DF75CB"/>
    <w:rsid w:val="00E02D3C"/>
    <w:rsid w:val="00E0584D"/>
    <w:rsid w:val="00E11AC4"/>
    <w:rsid w:val="00E127AB"/>
    <w:rsid w:val="00E1769A"/>
    <w:rsid w:val="00E23990"/>
    <w:rsid w:val="00E24919"/>
    <w:rsid w:val="00E24DCC"/>
    <w:rsid w:val="00E30EDD"/>
    <w:rsid w:val="00E32987"/>
    <w:rsid w:val="00E334B9"/>
    <w:rsid w:val="00E365D9"/>
    <w:rsid w:val="00E378BF"/>
    <w:rsid w:val="00E42C15"/>
    <w:rsid w:val="00E43D92"/>
    <w:rsid w:val="00E5056A"/>
    <w:rsid w:val="00E555E0"/>
    <w:rsid w:val="00E7209E"/>
    <w:rsid w:val="00E80096"/>
    <w:rsid w:val="00EA0BCE"/>
    <w:rsid w:val="00EA45B2"/>
    <w:rsid w:val="00EA7535"/>
    <w:rsid w:val="00EB4B86"/>
    <w:rsid w:val="00EC6E44"/>
    <w:rsid w:val="00ED53E2"/>
    <w:rsid w:val="00EE1656"/>
    <w:rsid w:val="00EE3AD2"/>
    <w:rsid w:val="00F00353"/>
    <w:rsid w:val="00F11DF2"/>
    <w:rsid w:val="00F12DD3"/>
    <w:rsid w:val="00F13C0E"/>
    <w:rsid w:val="00F13C31"/>
    <w:rsid w:val="00F26E6F"/>
    <w:rsid w:val="00F319CC"/>
    <w:rsid w:val="00F36784"/>
    <w:rsid w:val="00F468BB"/>
    <w:rsid w:val="00F561D8"/>
    <w:rsid w:val="00F71573"/>
    <w:rsid w:val="00F82FAA"/>
    <w:rsid w:val="00F85342"/>
    <w:rsid w:val="00F95FD2"/>
    <w:rsid w:val="00FA056E"/>
    <w:rsid w:val="00FA1208"/>
    <w:rsid w:val="00FB4D63"/>
    <w:rsid w:val="00FB6634"/>
    <w:rsid w:val="00FB6D04"/>
    <w:rsid w:val="00FB7696"/>
    <w:rsid w:val="00FC137A"/>
    <w:rsid w:val="00FC598D"/>
    <w:rsid w:val="00FC6D94"/>
    <w:rsid w:val="00FD1326"/>
    <w:rsid w:val="00FD5873"/>
    <w:rsid w:val="00FD5B7B"/>
    <w:rsid w:val="00FD677E"/>
    <w:rsid w:val="00FE2D22"/>
    <w:rsid w:val="00FE6ABC"/>
    <w:rsid w:val="00FF041C"/>
    <w:rsid w:val="00FF4E17"/>
    <w:rsid w:val="00FF5168"/>
    <w:rsid w:val="00FF603E"/>
    <w:rsid w:val="00FF776A"/>
    <w:rsid w:val="0D907BC8"/>
    <w:rsid w:val="523F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pPr>
    <w:rPr>
      <w:rFonts w:ascii="Times New Roman" w:hAnsi="Times New Roman" w:eastAsia="宋体" w:cs="Times New Roman"/>
      <w:lang w:val="en-US" w:eastAsia="zh-CN" w:bidi="ar-SA"/>
    </w:rPr>
  </w:style>
  <w:style w:type="paragraph" w:styleId="2">
    <w:name w:val="heading 1"/>
    <w:basedOn w:val="1"/>
    <w:next w:val="1"/>
    <w:link w:val="18"/>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spacing w:before="260" w:after="260" w:line="416" w:lineRule="atLeast"/>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uiPriority w:val="39"/>
    <w:pPr>
      <w:ind w:left="840" w:leftChars="400"/>
    </w:pPr>
  </w:style>
  <w:style w:type="paragraph" w:styleId="6">
    <w:name w:val="footer"/>
    <w:basedOn w:val="1"/>
    <w:link w:val="16"/>
    <w:autoRedefine/>
    <w:unhideWhenUsed/>
    <w:uiPriority w:val="99"/>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7">
    <w:name w:val="header"/>
    <w:basedOn w:val="1"/>
    <w:link w:val="15"/>
    <w:unhideWhenUsed/>
    <w:uiPriority w:val="99"/>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8">
    <w:name w:val="toc 1"/>
    <w:basedOn w:val="1"/>
    <w:next w:val="1"/>
    <w:autoRedefine/>
    <w:unhideWhenUsed/>
    <w:qFormat/>
    <w:uiPriority w:val="39"/>
  </w:style>
  <w:style w:type="paragraph" w:styleId="9">
    <w:name w:val="Title"/>
    <w:basedOn w:val="1"/>
    <w:next w:val="1"/>
    <w:link w:val="23"/>
    <w:autoRedefine/>
    <w:qFormat/>
    <w:uiPriority w:val="10"/>
    <w:pPr>
      <w:adjustRightInd/>
      <w:spacing w:line="0" w:lineRule="atLeast"/>
      <w:jc w:val="center"/>
    </w:pPr>
    <w:rPr>
      <w:rFonts w:ascii="黑体" w:hAnsi="黑体" w:eastAsia="黑体" w:cstheme="majorBidi"/>
      <w:b/>
      <w:bCs/>
      <w:kern w:val="2"/>
      <w:sz w:val="36"/>
      <w:szCs w:val="36"/>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字符"/>
    <w:basedOn w:val="12"/>
    <w:link w:val="2"/>
    <w:autoRedefine/>
    <w:uiPriority w:val="9"/>
    <w:rPr>
      <w:rFonts w:ascii="Times New Roman" w:hAnsi="Times New Roman" w:eastAsia="宋体" w:cs="Times New Roman"/>
      <w:b/>
      <w:bCs/>
      <w:kern w:val="44"/>
      <w:sz w:val="44"/>
      <w:szCs w:val="44"/>
    </w:rPr>
  </w:style>
  <w:style w:type="character" w:customStyle="1" w:styleId="19">
    <w:name w:val="标题 2 字符"/>
    <w:basedOn w:val="12"/>
    <w:link w:val="3"/>
    <w:autoRedefine/>
    <w:semiHidden/>
    <w:uiPriority w:val="9"/>
    <w:rPr>
      <w:rFonts w:asciiTheme="majorHAnsi" w:hAnsiTheme="majorHAnsi" w:eastAsiaTheme="majorEastAsia" w:cstheme="majorBidi"/>
      <w:b/>
      <w:bCs/>
      <w:kern w:val="0"/>
      <w:sz w:val="32"/>
      <w:szCs w:val="32"/>
    </w:rPr>
  </w:style>
  <w:style w:type="character" w:customStyle="1" w:styleId="20">
    <w:name w:val="标题 3 字符"/>
    <w:basedOn w:val="12"/>
    <w:link w:val="4"/>
    <w:qFormat/>
    <w:uiPriority w:val="0"/>
    <w:rPr>
      <w:rFonts w:ascii="Times New Roman" w:hAnsi="Times New Roman" w:eastAsia="宋体" w:cs="Times New Roman"/>
      <w:b/>
      <w:bCs/>
      <w:kern w:val="0"/>
      <w:sz w:val="32"/>
      <w:szCs w:val="32"/>
    </w:rPr>
  </w:style>
  <w:style w:type="paragraph" w:customStyle="1" w:styleId="21">
    <w:name w:val="xl27"/>
    <w:basedOn w:val="1"/>
    <w:autoRedefine/>
    <w:qFormat/>
    <w:uiPriority w:val="99"/>
    <w:pPr>
      <w:widowControl/>
      <w:adjustRightInd/>
      <w:spacing w:before="100" w:beforeAutospacing="1" w:after="100" w:afterAutospacing="1" w:line="240" w:lineRule="auto"/>
      <w:jc w:val="center"/>
    </w:pPr>
    <w:rPr>
      <w:rFonts w:ascii="宋体" w:hAnsi="宋体"/>
      <w:sz w:val="24"/>
      <w:szCs w:val="24"/>
    </w:rPr>
  </w:style>
  <w:style w:type="paragraph" w:customStyle="1" w:styleId="22">
    <w:name w:val="TOC 标题1"/>
    <w:basedOn w:val="2"/>
    <w:next w:val="1"/>
    <w:autoRedefine/>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标题 字符"/>
    <w:basedOn w:val="12"/>
    <w:link w:val="9"/>
    <w:qFormat/>
    <w:uiPriority w:val="10"/>
    <w:rPr>
      <w:rFonts w:ascii="黑体" w:hAnsi="黑体" w:eastAsia="黑体" w:cstheme="majorBidi"/>
      <w:b/>
      <w:bCs/>
      <w:sz w:val="36"/>
      <w:szCs w:val="36"/>
    </w:rPr>
  </w:style>
  <w:style w:type="paragraph" w:customStyle="1" w:styleId="24">
    <w:name w:val="样式 标题 2 + Times New Roman 四号 非加粗 段前: 5 磅 段后: 0 磅 行距: 固定值 20..."/>
    <w:basedOn w:val="3"/>
    <w:next w:val="1"/>
    <w:autoRedefine/>
    <w:qFormat/>
    <w:uiPriority w:val="99"/>
    <w:pPr>
      <w:adjustRightInd/>
      <w:spacing w:before="100" w:after="0" w:line="400" w:lineRule="exact"/>
    </w:pPr>
    <w:rPr>
      <w:rFonts w:ascii="Times New Roman" w:hAnsi="Times New Roman" w:eastAsia="黑体"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FB9CB-332B-4E70-8E24-EF560F90EFE0}">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9</Pages>
  <Words>845</Words>
  <Characters>4821</Characters>
  <Lines>40</Lines>
  <Paragraphs>11</Paragraphs>
  <TotalTime>312</TotalTime>
  <ScaleCrop>false</ScaleCrop>
  <LinksUpToDate>false</LinksUpToDate>
  <CharactersWithSpaces>5655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2024-04-23T01:49:00Z</dcterms:created>
  <dc:creator>王秀英</dc:creator>
  <cp:lastModifiedBy>chenqi</cp:lastModifiedBy>
  <cp:lastPrinted>2023-04-21T11:29:00Z</cp:lastPrinted>
  <dcterms:modified xsi:type="dcterms:W3CDTF">2024-06-11T13:49:00Z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57160B8BAE184AFEB06732748D269CAB_13</vt:lpwstr>
  </property>
</Properties>
</file>