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869"/>
        <w:gridCol w:w="2011"/>
        <w:gridCol w:w="2011"/>
      </w:tblGrid>
      <w:tr w:rsidR="00C43D4E" w:rsidRPr="00C43D4E" w:rsidTr="00051C08">
        <w:trPr>
          <w:trHeight w:val="810"/>
        </w:trPr>
        <w:tc>
          <w:tcPr>
            <w:tcW w:w="8296" w:type="dxa"/>
            <w:gridSpan w:val="4"/>
            <w:hideMark/>
          </w:tcPr>
          <w:p w:rsidR="00C43D4E" w:rsidRPr="00C43D4E" w:rsidRDefault="00BF7EA3" w:rsidP="00BF7EA3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2025</w:t>
            </w:r>
            <w:r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年</w:t>
            </w:r>
            <w:r w:rsidR="00C43D4E"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厦门钨业股份有限公司海沧分公司公路运输项目资格预审</w:t>
            </w:r>
          </w:p>
        </w:tc>
      </w:tr>
      <w:tr w:rsidR="00C43D4E" w:rsidRPr="00C43D4E" w:rsidTr="00051C08">
        <w:trPr>
          <w:trHeight w:val="540"/>
        </w:trPr>
        <w:tc>
          <w:tcPr>
            <w:tcW w:w="8296" w:type="dxa"/>
            <w:gridSpan w:val="4"/>
            <w:hideMark/>
          </w:tcPr>
          <w:p w:rsidR="00C43D4E" w:rsidRPr="00C43D4E" w:rsidRDefault="00C43D4E" w:rsidP="004A5F64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招标开始时间：2025-5-</w:t>
            </w:r>
            <w:r w:rsidR="004A5F64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23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 xml:space="preserve"> 08:00</w:t>
            </w:r>
          </w:p>
        </w:tc>
      </w:tr>
      <w:tr w:rsidR="00C43D4E" w:rsidRPr="00C43D4E" w:rsidTr="00051C08">
        <w:trPr>
          <w:trHeight w:val="270"/>
        </w:trPr>
        <w:tc>
          <w:tcPr>
            <w:tcW w:w="8296" w:type="dxa"/>
            <w:gridSpan w:val="4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公告信息：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工程项目名称</w:t>
            </w:r>
          </w:p>
        </w:tc>
        <w:tc>
          <w:tcPr>
            <w:tcW w:w="5891" w:type="dxa"/>
            <w:gridSpan w:val="3"/>
            <w:hideMark/>
          </w:tcPr>
          <w:p w:rsidR="00C43D4E" w:rsidRPr="00C43D4E" w:rsidRDefault="00BF7EA3" w:rsidP="00BF7EA3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2025</w:t>
            </w:r>
            <w:r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年</w:t>
            </w:r>
            <w:r w:rsidR="00C43D4E"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厦门钨业股份有限公司海沧分公司公路运输项目资格预审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招标单位</w:t>
            </w: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厦门钨业股份有限公司海沧分公司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招标公告时间</w:t>
            </w: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4A5F64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2025年5月</w:t>
            </w:r>
            <w:r w:rsidR="004A5F64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23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日 08:00至 2025年5月30日16:00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 w:val="restart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工程项目信息及要求</w:t>
            </w: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招 标 公 告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招标项目编号：</w:t>
            </w:r>
            <w:r w:rsidRPr="00C43D4E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 xml:space="preserve"> 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bookmarkStart w:id="0" w:name="RANGE!B10"/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1. 招标人：厦门钨业股份有限公司海沧分公司</w:t>
            </w:r>
            <w:bookmarkEnd w:id="0"/>
          </w:p>
        </w:tc>
      </w:tr>
      <w:tr w:rsidR="00C43D4E" w:rsidRPr="00C43D4E" w:rsidTr="00051C08">
        <w:trPr>
          <w:trHeight w:val="54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bookmarkStart w:id="1" w:name="RANGE!B11"/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2. 项目名称：2025</w:t>
            </w:r>
            <w:r w:rsidR="006F2EF7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年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公路运输项目资格预审，包含厦门钨业股份有限公司海沧分公司、厦门嘉鹭金属工业有限公司，具体详见项目概况和范围。</w:t>
            </w:r>
            <w:bookmarkEnd w:id="1"/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bookmarkStart w:id="2" w:name="RANGE!B12"/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3. 投标人资格预审要求</w:t>
            </w:r>
            <w:bookmarkEnd w:id="2"/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1）中华人民共和国境内注册的能独立签订和履行合同的企业法人；</w:t>
            </w:r>
          </w:p>
        </w:tc>
      </w:tr>
      <w:tr w:rsidR="00C43D4E" w:rsidRPr="00C43D4E" w:rsidTr="00051C08">
        <w:trPr>
          <w:trHeight w:val="54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2）投标人具有在合格有效期内的营业执照，注册资本1000万元及以上，提供相应注册资本的营业执照；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3）投标人具有《中华人民共和国道路运输经营许可证》；</w:t>
            </w:r>
          </w:p>
        </w:tc>
      </w:tr>
      <w:tr w:rsidR="00C43D4E" w:rsidRPr="00C43D4E" w:rsidTr="00051C08">
        <w:trPr>
          <w:trHeight w:val="108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4） 投标人具有良好的银行资信和商业信誉，没有处于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lastRenderedPageBreak/>
              <w:t>被责令停业、财产被接管、冻结、破产状态，禁止列入“信用中国”受惩黑名单和失信被执行人企业法人参加投标，在“国家企业信用信息公示系统”网站（www.gsxt.gov.cn）中未被列入违法失信企业名单；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5）投标人没有正在进行或将要发生的对投标人不利的重大诉讼或仲裁；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6）投标人在近三年来实施的合同中没有受主管部门处罚的不良记录；</w:t>
            </w:r>
          </w:p>
        </w:tc>
      </w:tr>
      <w:tr w:rsidR="00C43D4E" w:rsidRPr="00C43D4E" w:rsidTr="00051C08">
        <w:trPr>
          <w:trHeight w:val="54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7）投标人应为不属于中国国家有关部门所界定的有腐败、欺诈行为的不合格的投标人。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8）投标人有银行的资信证明材料；</w:t>
            </w:r>
          </w:p>
        </w:tc>
      </w:tr>
      <w:tr w:rsidR="00C43D4E" w:rsidRPr="00C43D4E" w:rsidTr="00051C08">
        <w:trPr>
          <w:trHeight w:val="108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4AD4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9）投标人自有货车运输厢式车辆</w:t>
            </w:r>
            <w:r w:rsidR="00C44AD4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8</w:t>
            </w:r>
            <w:r w:rsidR="00C44AD4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辆、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槽罐车三辆</w:t>
            </w:r>
            <w:r w:rsidR="00C44AD4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及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以上，其中</w:t>
            </w:r>
            <w:r w:rsidR="00BF7EA3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“国五”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车辆（或新能源车）≥30%，提供机动车登记证及车辆行驶证复印件；司机A2驾驶证</w:t>
            </w:r>
            <w:r w:rsidR="00C44AD4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8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人及以上，提供劳务合同和工资支付证明或参保证明等证明材料；</w:t>
            </w:r>
          </w:p>
        </w:tc>
      </w:tr>
      <w:tr w:rsidR="00C43D4E" w:rsidRPr="00C43D4E" w:rsidTr="00051C08">
        <w:trPr>
          <w:trHeight w:val="54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6F2EF7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10）</w:t>
            </w:r>
            <w:r w:rsidR="006F2EF7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主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要运营</w:t>
            </w:r>
            <w:r w:rsidR="006F2EF7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目的地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：赣州、九江、洛阳、成都、云南文山、龙岩、厦门等。</w:t>
            </w:r>
            <w:r w:rsidR="00C44AD4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最少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提供</w:t>
            </w:r>
            <w:r w:rsidR="00C44AD4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2条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运营线路和时间表等证明材料；</w:t>
            </w:r>
          </w:p>
        </w:tc>
      </w:tr>
      <w:tr w:rsidR="00C43D4E" w:rsidRPr="00C43D4E" w:rsidTr="00051C08">
        <w:trPr>
          <w:trHeight w:val="54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11）业绩能力证明：2024年度期间累计营业额或开票金额≥</w:t>
            </w:r>
            <w:r w:rsidR="006F2EF7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8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00万，需要提供相应的财务报表或相应的合同、发票、开票凭证等证明材料；</w:t>
            </w:r>
          </w:p>
        </w:tc>
      </w:tr>
      <w:tr w:rsidR="00C43D4E" w:rsidRPr="00C43D4E" w:rsidTr="00051C08">
        <w:trPr>
          <w:trHeight w:val="54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12）具备完善的回单管理制度，并有专人跟进回单审核签收以及整理、字迹清晰且存放规整有序；需要提供10份及以上重要客户回单复印件；</w:t>
            </w:r>
          </w:p>
        </w:tc>
      </w:tr>
      <w:tr w:rsidR="00C43D4E" w:rsidRPr="00C43D4E" w:rsidTr="00051C08">
        <w:trPr>
          <w:trHeight w:val="54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13）安全保障：司乘人员安全教育制度、车辆日常维护保养制度和记录、出货前的车辆安全性能保障措施；提供维修保养记录和相应程序文件或制度。</w:t>
            </w:r>
          </w:p>
        </w:tc>
      </w:tr>
      <w:tr w:rsidR="00C43D4E" w:rsidRPr="00C43D4E" w:rsidTr="00051C08">
        <w:trPr>
          <w:trHeight w:val="108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bookmarkStart w:id="3" w:name="RANGE!B26"/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4.应标时间及地点：递交的截止时间为2025年 05月30日下午16时00分，资格预审文件需递交一正一副共两份，地点为福建省厦门市海沧区柯井社300号厦门钨业股份有限公司海沧分公司仓储物流办公室，联系人：王工，联系电话：13806092691（应标文件以邮递形式送达的请寄顺丰）。</w:t>
            </w:r>
            <w:bookmarkEnd w:id="3"/>
          </w:p>
        </w:tc>
      </w:tr>
      <w:tr w:rsidR="00C43D4E" w:rsidRPr="00C43D4E" w:rsidTr="00051C08">
        <w:trPr>
          <w:trHeight w:val="108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bookmarkStart w:id="4" w:name="RANGE!B27"/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5. 资格审查及考察计划时间：本项目资格预审分为文件审查、现场评审。文件资格预审通过后将通知合格方进行现场评审，通过后方可进入此次物流正式招标；原合同承运商视为合格供应商，需按要求进行文件审查，无需现场评审。现场评审具体时间以实际安排为准。考察结果出来后会另行通知。</w:t>
            </w:r>
            <w:bookmarkEnd w:id="4"/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bookmarkStart w:id="5" w:name="RANGE!B28"/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6. 招标文件发放：待资格审查通过后另行通知。</w:t>
            </w:r>
            <w:bookmarkEnd w:id="5"/>
          </w:p>
        </w:tc>
      </w:tr>
      <w:tr w:rsidR="00C43D4E" w:rsidRPr="00C43D4E" w:rsidTr="00051C08">
        <w:trPr>
          <w:trHeight w:val="108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bookmarkStart w:id="6" w:name="RANGE!B29"/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7. 应标须知：应标人需在本公告要求的应标时间内将应标通知书送达投标人处，应标通知书格式如附件；如有资格预审要求的，应标人还需提供资格预审材料，资格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lastRenderedPageBreak/>
              <w:t>预审材料均需加盖应标人的公章；未提供资格预审材料的视为无效应标，提供虚假证明的将取消投标资格。</w:t>
            </w:r>
            <w:bookmarkEnd w:id="6"/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bookmarkStart w:id="7" w:name="RANGE!B30"/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8.项目概况和招标范围</w:t>
            </w:r>
            <w:bookmarkEnd w:id="7"/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EE63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项目规模：运输总量约</w:t>
            </w:r>
            <w:r w:rsidR="00EE634E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10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000吨（以实际订单为准）。</w:t>
            </w:r>
          </w:p>
        </w:tc>
      </w:tr>
      <w:tr w:rsidR="00C43D4E" w:rsidRPr="004A0790" w:rsidTr="00051C08">
        <w:trPr>
          <w:trHeight w:val="54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4A0790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项目年度预算约</w:t>
            </w:r>
            <w:r w:rsidR="004A0790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35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0万元，其中厦门钨业股份有限公司海沧分公司</w:t>
            </w:r>
            <w:r w:rsidR="004A0790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250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万元，厦门嘉鹭金属工业有限公司</w:t>
            </w:r>
            <w:r w:rsidR="004A0790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100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万元，中标后合同单独签订。</w:t>
            </w:r>
          </w:p>
        </w:tc>
      </w:tr>
      <w:tr w:rsidR="00C43D4E" w:rsidRPr="00C43D4E" w:rsidTr="00051C08">
        <w:trPr>
          <w:trHeight w:val="189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运输线路方案：本项目为总包线路，具体详见附件《报价表》（将于正式招标阶段发放），参与投标的单位所有分项均需报价。设立第一中标人、第二中标人和第三中标人。中标方在合同执行期间，发生三次以上的一般事故（未被客户投诉）或一次重大客诉的，将按价格表中对应的分区线路暂停运输并要求中标人按要求整改，直至招标方评审整改合格后运方可恢复运输。若未按期通过整改，将按价格表分区线路全面停运。整改停运期间由该线路第二中标候选人进行承运。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BF7EA3" w:rsidP="00BF7EA3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产品类型：公司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原料</w:t>
            </w:r>
            <w:r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、产品</w:t>
            </w:r>
            <w:r w:rsidR="00C43D4E"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、槽罐氨水</w:t>
            </w:r>
            <w:r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和</w:t>
            </w:r>
            <w:r w:rsidR="00C43D4E"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设备等。</w:t>
            </w:r>
          </w:p>
        </w:tc>
      </w:tr>
      <w:tr w:rsidR="00C43D4E" w:rsidRPr="00C43D4E" w:rsidTr="00051C08">
        <w:trPr>
          <w:trHeight w:val="54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产品包装：桶装（铁桶）、桶装打托、袋装（50</w:t>
            </w:r>
            <w:r w:rsidR="00CD3356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0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KG/袋和1</w:t>
            </w:r>
            <w:r w:rsidR="00CD3356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0</w:t>
            </w:r>
            <w:r w:rsidR="00CD3356"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0</w:t>
            </w:r>
            <w:r w:rsidR="00CD3356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0</w:t>
            </w:r>
            <w:r w:rsidR="00CD3356"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 xml:space="preserve">KG 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/</w:t>
            </w:r>
            <w:r w:rsidR="00CD3356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袋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）、袋装打托等。</w:t>
            </w:r>
          </w:p>
        </w:tc>
      </w:tr>
      <w:tr w:rsidR="00C43D4E" w:rsidRPr="00C43D4E" w:rsidTr="00051C08">
        <w:trPr>
          <w:trHeight w:val="54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产品运输方式比例：整车比例约95%，其中以吨袋包装及吨袋打托产品为主；零担比例约5%，包含所有产品种类，具体以实际业务发生为准。</w:t>
            </w:r>
          </w:p>
        </w:tc>
      </w:tr>
      <w:tr w:rsidR="00C43D4E" w:rsidRPr="00EE634E" w:rsidTr="00051C08">
        <w:trPr>
          <w:trHeight w:val="135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EE63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计费方式：</w:t>
            </w:r>
            <w:r w:rsidR="00532645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固体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按</w:t>
            </w:r>
            <w:r w:rsidR="00532645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吨净重计费；运价包括从甲方仓库至目的地仓库的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一切费用；</w:t>
            </w:r>
            <w:r w:rsidR="00532645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液体槽罐车按整车</w:t>
            </w:r>
            <w:r w:rsidR="00EE63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3</w:t>
            </w:r>
            <w:r w:rsidR="00EE634E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0吨</w:t>
            </w:r>
            <w:r w:rsidR="00532645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计费。</w:t>
            </w:r>
          </w:p>
        </w:tc>
      </w:tr>
      <w:tr w:rsidR="00C43D4E" w:rsidRPr="00C43D4E" w:rsidTr="00051C08">
        <w:trPr>
          <w:trHeight w:val="135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20494A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其他费用说明：中标方按照招标方要求安排车辆如期抵达招标方装货，因招标方原因等待超过6小时并最终取消发货的或中标方按照招标方要求如期送达客户后，因客户</w:t>
            </w:r>
            <w:r w:rsidR="0020494A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、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招标方</w:t>
            </w:r>
            <w:r w:rsidR="0020494A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或入关待查验的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原因</w:t>
            </w:r>
            <w:r w:rsidR="0020494A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等待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超过24小时情况的，可由中标方提出按车型进行补偿，具体为：≤6.8M，补偿金额≤300元；9.6M及以上车补偿金额≤500元</w:t>
            </w:r>
            <w:r w:rsidR="0020494A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；槽罐车</w:t>
            </w:r>
            <w:r w:rsidR="0020494A"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补偿金额≤</w:t>
            </w:r>
            <w:r w:rsidR="0020494A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6</w:t>
            </w:r>
            <w:r w:rsidR="0020494A"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00元予以补偿。</w:t>
            </w:r>
          </w:p>
        </w:tc>
      </w:tr>
      <w:tr w:rsidR="00C43D4E" w:rsidRPr="00C43D4E" w:rsidTr="00051C08">
        <w:trPr>
          <w:trHeight w:val="54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EE63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装运及派送要求：装车及运输过程产品</w:t>
            </w:r>
            <w:r w:rsidR="00EE63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需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做好防护隔离；派送前需提供照片或视频佐证留存。</w:t>
            </w:r>
          </w:p>
        </w:tc>
      </w:tr>
      <w:tr w:rsidR="00C43D4E" w:rsidRPr="00C43D4E" w:rsidTr="00051C08">
        <w:trPr>
          <w:trHeight w:val="81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人员和车辆要求：需安排固定项目对接人和现场调度员各一名；需有两部6.8</w:t>
            </w:r>
            <w:r w:rsidR="00BF7EA3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米及以上车辆以及相应的司机用于海沧分公司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与</w:t>
            </w:r>
            <w:r w:rsidR="00BF7EA3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嘉鹭公司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的物资调拨运输及周转使用。</w:t>
            </w:r>
          </w:p>
        </w:tc>
      </w:tr>
      <w:tr w:rsidR="00C43D4E" w:rsidRPr="00C43D4E" w:rsidTr="00051C08">
        <w:trPr>
          <w:trHeight w:val="54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</w:tr>
      <w:tr w:rsidR="00C43D4E" w:rsidRPr="00C43D4E" w:rsidTr="00051C08">
        <w:trPr>
          <w:trHeight w:val="108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付款方式：乙方在每月5日前整理完上月对账单和回单并发邮件给甲方，以便双方当月10日前完账；甲方按票到月结30天以电汇方式支付运输费用（在合同履行期间，若因国家税率调整，则该价格应做相应调整，以开具发票的时间为准）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招标地址：厦门钨业股份有限公司海沧分公司。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招标有效周期：</w:t>
            </w:r>
            <w:r w:rsidR="00BF7EA3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两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年（具体以合同约定为准）。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BF7EA3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详情请跳转到</w:t>
            </w:r>
            <w:r w:rsidR="00BF7EA3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厦钨招采</w:t>
            </w:r>
            <w:r w:rsidR="00BF7EA3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SRM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供应商门户查看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公告附件</w:t>
            </w:r>
          </w:p>
        </w:tc>
      </w:tr>
      <w:tr w:rsidR="00C43D4E" w:rsidRPr="00C43D4E" w:rsidTr="00051C08">
        <w:trPr>
          <w:trHeight w:val="540"/>
        </w:trPr>
        <w:tc>
          <w:tcPr>
            <w:tcW w:w="2405" w:type="dxa"/>
            <w:vMerge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A4669F">
              <w:rPr>
                <w:rFonts w:ascii="微软雅黑" w:eastAsia="微软雅黑" w:hAnsi="微软雅黑" w:cs="Segoe UI" w:hint="eastAsia"/>
                <w:color w:val="FF0000"/>
                <w:sz w:val="24"/>
                <w:szCs w:val="21"/>
              </w:rPr>
              <w:t>厦钨HC[2025]招第****号:</w:t>
            </w: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厦门钨业股份有限公司海沧分公司2025年度公路运输项目资格预审.docx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建设项目预估金额</w:t>
            </w: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￥ 0.00 万元（人民币）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资格预审文件提交时间</w:t>
            </w: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4A5F64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2025年5月</w:t>
            </w:r>
            <w:r w:rsidR="004A5F64"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23</w:t>
            </w:r>
            <w:bookmarkStart w:id="8" w:name="_GoBack"/>
            <w:bookmarkEnd w:id="8"/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日 08:00至 2025年5月30日 16：00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资格预审文件的地点</w:t>
            </w: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详见正文</w:t>
            </w:r>
          </w:p>
        </w:tc>
      </w:tr>
      <w:tr w:rsidR="00051C08" w:rsidRPr="00C43D4E" w:rsidTr="00051C08">
        <w:trPr>
          <w:trHeight w:val="270"/>
        </w:trPr>
        <w:tc>
          <w:tcPr>
            <w:tcW w:w="2405" w:type="dxa"/>
            <w:hideMark/>
          </w:tcPr>
          <w:p w:rsidR="00051C08" w:rsidRPr="00C43D4E" w:rsidRDefault="00051C08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招标单位联系人</w:t>
            </w:r>
          </w:p>
        </w:tc>
        <w:tc>
          <w:tcPr>
            <w:tcW w:w="1869" w:type="dxa"/>
            <w:hideMark/>
          </w:tcPr>
          <w:p w:rsidR="00051C08" w:rsidRPr="00C43D4E" w:rsidRDefault="00051C08" w:rsidP="00051C08">
            <w:pPr>
              <w:ind w:firstLineChars="100" w:firstLine="240"/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王文山</w:t>
            </w:r>
          </w:p>
        </w:tc>
        <w:tc>
          <w:tcPr>
            <w:tcW w:w="2011" w:type="dxa"/>
          </w:tcPr>
          <w:p w:rsidR="00051C08" w:rsidRPr="00C43D4E" w:rsidRDefault="00051C08" w:rsidP="00051C08">
            <w:pPr>
              <w:ind w:firstLineChars="100" w:firstLine="240"/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2011" w:type="dxa"/>
          </w:tcPr>
          <w:p w:rsidR="00051C08" w:rsidRPr="00C43D4E" w:rsidRDefault="00051C08" w:rsidP="00051C08">
            <w:pPr>
              <w:ind w:firstLineChars="100" w:firstLine="240"/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1</w:t>
            </w:r>
            <w: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  <w:t>3806092691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招标单位名称</w:t>
            </w: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厦门钨业股份有限公司海沧分公司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招标单位地址</w:t>
            </w: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厦门市海沧区柯井社300号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招标代理机构名称</w:t>
            </w: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详见正文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代理机构联系方式</w:t>
            </w: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详见正文</w:t>
            </w:r>
          </w:p>
        </w:tc>
      </w:tr>
      <w:tr w:rsidR="00C43D4E" w:rsidRPr="00C43D4E" w:rsidTr="00051C08">
        <w:trPr>
          <w:trHeight w:val="270"/>
        </w:trPr>
        <w:tc>
          <w:tcPr>
            <w:tcW w:w="2405" w:type="dxa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代理机构地址</w:t>
            </w:r>
          </w:p>
        </w:tc>
        <w:tc>
          <w:tcPr>
            <w:tcW w:w="5891" w:type="dxa"/>
            <w:gridSpan w:val="3"/>
            <w:hideMark/>
          </w:tcPr>
          <w:p w:rsidR="00C43D4E" w:rsidRPr="00C43D4E" w:rsidRDefault="00C43D4E" w:rsidP="00C43D4E">
            <w:pPr>
              <w:rPr>
                <w:rFonts w:ascii="微软雅黑" w:eastAsia="微软雅黑" w:hAnsi="微软雅黑" w:cs="Segoe UI"/>
                <w:color w:val="000000"/>
                <w:sz w:val="24"/>
                <w:szCs w:val="21"/>
              </w:rPr>
            </w:pPr>
            <w:r w:rsidRPr="00C43D4E">
              <w:rPr>
                <w:rFonts w:ascii="微软雅黑" w:eastAsia="微软雅黑" w:hAnsi="微软雅黑" w:cs="Segoe UI" w:hint="eastAsia"/>
                <w:color w:val="000000"/>
                <w:sz w:val="24"/>
                <w:szCs w:val="21"/>
              </w:rPr>
              <w:t>详见正文</w:t>
            </w:r>
          </w:p>
        </w:tc>
      </w:tr>
    </w:tbl>
    <w:p w:rsidR="00C43D4E" w:rsidRPr="00C43D4E" w:rsidRDefault="00C43D4E" w:rsidP="00C43D4E">
      <w:pPr>
        <w:rPr>
          <w:rFonts w:ascii="微软雅黑" w:eastAsia="微软雅黑" w:hAnsi="微软雅黑" w:cs="Segoe UI"/>
          <w:color w:val="000000"/>
          <w:sz w:val="24"/>
          <w:szCs w:val="21"/>
        </w:rPr>
      </w:pPr>
    </w:p>
    <w:p w:rsidR="00E420E4" w:rsidRDefault="00E420E4"/>
    <w:sectPr w:rsidR="00E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6C" w:rsidRDefault="000F506C" w:rsidP="00C43D4E">
      <w:r>
        <w:separator/>
      </w:r>
    </w:p>
  </w:endnote>
  <w:endnote w:type="continuationSeparator" w:id="0">
    <w:p w:rsidR="000F506C" w:rsidRDefault="000F506C" w:rsidP="00C4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6C" w:rsidRDefault="000F506C" w:rsidP="00C43D4E">
      <w:r>
        <w:separator/>
      </w:r>
    </w:p>
  </w:footnote>
  <w:footnote w:type="continuationSeparator" w:id="0">
    <w:p w:rsidR="000F506C" w:rsidRDefault="000F506C" w:rsidP="00C4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7A"/>
    <w:rsid w:val="00051C08"/>
    <w:rsid w:val="000B6A35"/>
    <w:rsid w:val="000F506C"/>
    <w:rsid w:val="001164F0"/>
    <w:rsid w:val="0020494A"/>
    <w:rsid w:val="00207FC9"/>
    <w:rsid w:val="00214362"/>
    <w:rsid w:val="002D4202"/>
    <w:rsid w:val="003F6322"/>
    <w:rsid w:val="004A0790"/>
    <w:rsid w:val="004A5F64"/>
    <w:rsid w:val="005051F8"/>
    <w:rsid w:val="00532645"/>
    <w:rsid w:val="005C157A"/>
    <w:rsid w:val="00604735"/>
    <w:rsid w:val="00617C5A"/>
    <w:rsid w:val="006F2EF7"/>
    <w:rsid w:val="00752F36"/>
    <w:rsid w:val="007814B3"/>
    <w:rsid w:val="00A4669F"/>
    <w:rsid w:val="00B52814"/>
    <w:rsid w:val="00BF7EA3"/>
    <w:rsid w:val="00C43D4E"/>
    <w:rsid w:val="00C44AD4"/>
    <w:rsid w:val="00C76267"/>
    <w:rsid w:val="00CD3356"/>
    <w:rsid w:val="00D75D97"/>
    <w:rsid w:val="00DA285B"/>
    <w:rsid w:val="00E420E4"/>
    <w:rsid w:val="00E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DFD83F-728B-4BB8-959C-7D55FEA9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D4E"/>
    <w:rPr>
      <w:sz w:val="18"/>
      <w:szCs w:val="18"/>
    </w:rPr>
  </w:style>
  <w:style w:type="table" w:styleId="a5">
    <w:name w:val="Table Grid"/>
    <w:basedOn w:val="a1"/>
    <w:uiPriority w:val="59"/>
    <w:rsid w:val="00C43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王文山</dc:creator>
  <cp:keywords/>
  <dc:description/>
  <cp:lastModifiedBy>王文山</cp:lastModifiedBy>
  <cp:revision>21</cp:revision>
  <dcterms:created xsi:type="dcterms:W3CDTF">2025-05-14T01:21:00Z</dcterms:created>
  <dcterms:modified xsi:type="dcterms:W3CDTF">2025-05-23T03:39:00Z</dcterms:modified>
</cp:coreProperties>
</file>